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5664C" w:rsidP="0025664C" w14:paraId="19017A6A" w14:textId="77777777">
      <w:pPr>
        <w:spacing w:after="0" w:line="240" w:lineRule="auto"/>
        <w:ind w:right="13"/>
        <w:jc w:val="right"/>
        <w:rPr>
          <w:b/>
          <w:color w:val="000000" w:themeColor="text1"/>
          <w:szCs w:val="28"/>
          <w:lang w:val="lv-LV"/>
        </w:rPr>
      </w:pPr>
      <w:r w:rsidRPr="00633402">
        <w:rPr>
          <w:b/>
          <w:color w:val="000000" w:themeColor="text1"/>
          <w:szCs w:val="28"/>
          <w:lang w:val="lv-LV"/>
        </w:rPr>
        <w:t xml:space="preserve">Valsts sabiedrībai ar ierobežotu atbildību </w:t>
      </w:r>
    </w:p>
    <w:p w:rsidR="0025664C" w:rsidRPr="00633402" w:rsidP="0025664C" w14:paraId="68C1E163" w14:textId="77777777">
      <w:pPr>
        <w:spacing w:after="0" w:line="240" w:lineRule="auto"/>
        <w:ind w:right="13"/>
        <w:jc w:val="right"/>
        <w:rPr>
          <w:b/>
          <w:color w:val="000000" w:themeColor="text1"/>
          <w:szCs w:val="28"/>
          <w:lang w:val="lv-LV"/>
        </w:rPr>
      </w:pPr>
      <w:r w:rsidRPr="00543F1E">
        <w:rPr>
          <w:b/>
          <w:szCs w:val="28"/>
          <w:lang w:val="lv-LV"/>
        </w:rPr>
        <w:t>„Rīgas cirks”</w:t>
      </w:r>
    </w:p>
    <w:p w:rsidR="0025664C" w:rsidRPr="00633402" w:rsidP="0025664C" w14:paraId="70F08B99" w14:textId="77777777">
      <w:pPr>
        <w:spacing w:after="0" w:line="240" w:lineRule="auto"/>
        <w:jc w:val="right"/>
        <w:rPr>
          <w:color w:val="000000" w:themeColor="text1"/>
          <w:szCs w:val="28"/>
          <w:lang w:val="lv-LV"/>
        </w:rPr>
      </w:pPr>
    </w:p>
    <w:p w:rsidR="0025664C" w:rsidRPr="00633402" w:rsidP="0025664C" w14:paraId="5728575B" w14:textId="618928B2">
      <w:pPr>
        <w:spacing w:after="0" w:line="240" w:lineRule="auto"/>
        <w:ind w:right="4549"/>
        <w:jc w:val="both"/>
        <w:rPr>
          <w:b/>
          <w:color w:val="000000" w:themeColor="text1"/>
          <w:szCs w:val="28"/>
          <w:lang w:val="lv-LV"/>
        </w:rPr>
      </w:pPr>
      <w:r w:rsidRPr="00633402">
        <w:rPr>
          <w:b/>
          <w:color w:val="000000" w:themeColor="text1"/>
          <w:szCs w:val="28"/>
          <w:lang w:val="lv-LV"/>
        </w:rPr>
        <w:t>Par valsts sabiedrība</w:t>
      </w:r>
      <w:r>
        <w:rPr>
          <w:b/>
          <w:color w:val="000000" w:themeColor="text1"/>
          <w:szCs w:val="28"/>
          <w:lang w:val="lv-LV"/>
        </w:rPr>
        <w:t>s</w:t>
      </w:r>
      <w:r w:rsidRPr="00633402">
        <w:rPr>
          <w:b/>
          <w:color w:val="000000" w:themeColor="text1"/>
          <w:szCs w:val="28"/>
          <w:lang w:val="lv-LV"/>
        </w:rPr>
        <w:t xml:space="preserve"> ar ierobežotu atbildību </w:t>
      </w:r>
      <w:r w:rsidRPr="00543F1E">
        <w:rPr>
          <w:b/>
          <w:szCs w:val="28"/>
          <w:lang w:val="lv-LV"/>
        </w:rPr>
        <w:t>„Rīgas cirks”</w:t>
      </w:r>
      <w:r w:rsidRPr="00633402">
        <w:rPr>
          <w:b/>
          <w:color w:val="000000" w:themeColor="text1"/>
          <w:szCs w:val="28"/>
          <w:lang w:val="lv-LV"/>
        </w:rPr>
        <w:t xml:space="preserve"> </w:t>
      </w:r>
      <w:r w:rsidRPr="00633402">
        <w:rPr>
          <w:b/>
          <w:bCs/>
          <w:color w:val="000000" w:themeColor="text1"/>
          <w:szCs w:val="28"/>
          <w:lang w:val="lv-LV"/>
        </w:rPr>
        <w:t>nefinanšu un finanšu</w:t>
      </w:r>
      <w:r w:rsidRPr="00633402">
        <w:rPr>
          <w:b/>
          <w:color w:val="000000" w:themeColor="text1"/>
          <w:szCs w:val="28"/>
          <w:lang w:val="lv-LV"/>
        </w:rPr>
        <w:t xml:space="preserve"> mērķiem</w:t>
      </w:r>
      <w:r>
        <w:rPr>
          <w:b/>
          <w:color w:val="000000" w:themeColor="text1"/>
          <w:szCs w:val="28"/>
          <w:lang w:val="lv-LV"/>
        </w:rPr>
        <w:t xml:space="preserve"> </w:t>
      </w:r>
      <w:r w:rsidRPr="00633402">
        <w:rPr>
          <w:b/>
          <w:color w:val="000000" w:themeColor="text1"/>
          <w:szCs w:val="28"/>
          <w:lang w:val="lv-LV"/>
        </w:rPr>
        <w:t>202</w:t>
      </w:r>
      <w:r>
        <w:rPr>
          <w:b/>
          <w:color w:val="000000" w:themeColor="text1"/>
          <w:szCs w:val="28"/>
          <w:lang w:val="lv-LV"/>
        </w:rPr>
        <w:t>5</w:t>
      </w:r>
      <w:r w:rsidRPr="00633402">
        <w:rPr>
          <w:b/>
          <w:color w:val="000000" w:themeColor="text1"/>
          <w:szCs w:val="28"/>
          <w:lang w:val="lv-LV"/>
        </w:rPr>
        <w:t>.gad</w:t>
      </w:r>
      <w:r>
        <w:rPr>
          <w:b/>
          <w:color w:val="000000" w:themeColor="text1"/>
          <w:szCs w:val="28"/>
          <w:lang w:val="lv-LV"/>
        </w:rPr>
        <w:t>ā</w:t>
      </w:r>
    </w:p>
    <w:p w:rsidR="0025664C" w:rsidRPr="00633402" w:rsidP="0025664C" w14:paraId="41AC11C1" w14:textId="77777777">
      <w:pPr>
        <w:spacing w:after="0" w:line="240" w:lineRule="auto"/>
        <w:ind w:firstLine="720"/>
        <w:jc w:val="both"/>
        <w:rPr>
          <w:color w:val="000000" w:themeColor="text1"/>
          <w:szCs w:val="28"/>
          <w:lang w:val="lv-LV"/>
        </w:rPr>
      </w:pPr>
    </w:p>
    <w:p w:rsidR="0025664C" w:rsidRPr="00D96C28" w:rsidP="0025664C" w14:paraId="0131EED6" w14:textId="46423711">
      <w:pPr>
        <w:spacing w:after="0" w:line="240" w:lineRule="auto"/>
        <w:ind w:firstLine="720"/>
        <w:jc w:val="both"/>
        <w:rPr>
          <w:color w:val="000000" w:themeColor="text1"/>
          <w:szCs w:val="28"/>
          <w:lang w:val="lv-LV"/>
        </w:rPr>
      </w:pPr>
      <w:r w:rsidRPr="00633402">
        <w:rPr>
          <w:color w:val="000000" w:themeColor="text1"/>
          <w:szCs w:val="28"/>
          <w:lang w:val="lv-LV"/>
        </w:rPr>
        <w:t>Saskaņā ar Publiskas personas kapitāla daļu un kapitālsabiedrību pārvaldības likuma 12.panta pirmo daļu</w:t>
      </w:r>
      <w:r>
        <w:rPr>
          <w:color w:val="000000" w:themeColor="text1"/>
          <w:szCs w:val="28"/>
          <w:lang w:val="lv-LV"/>
        </w:rPr>
        <w:t xml:space="preserve"> un</w:t>
      </w:r>
      <w:r w:rsidRPr="00633402">
        <w:rPr>
          <w:color w:val="000000" w:themeColor="text1"/>
          <w:szCs w:val="28"/>
          <w:lang w:val="lv-LV"/>
        </w:rPr>
        <w:t xml:space="preserve"> 6</w:t>
      </w:r>
      <w:r>
        <w:rPr>
          <w:color w:val="000000" w:themeColor="text1"/>
          <w:szCs w:val="28"/>
          <w:lang w:val="lv-LV"/>
        </w:rPr>
        <w:t>5</w:t>
      </w:r>
      <w:r w:rsidRPr="00633402">
        <w:rPr>
          <w:color w:val="000000" w:themeColor="text1"/>
          <w:szCs w:val="28"/>
          <w:lang w:val="lv-LV"/>
        </w:rPr>
        <w:t>.panta otro daļu un Ministru kabineta 2016.gada 9.februāra noteikumu Nr.95 „Kārtība, kādā tiek vērtēti darbības rezultāti un finanšu rādītāji kapitālsabiedrībai, kurā valstij ir izšķirošā ietekme” 2.1. un 2.2.punktu Kultūras ministrija valsts kapitāla daļu turētāja pārstāve</w:t>
      </w:r>
      <w:r>
        <w:rPr>
          <w:color w:val="000000" w:themeColor="text1"/>
          <w:szCs w:val="28"/>
          <w:lang w:val="lv-LV"/>
        </w:rPr>
        <w:t>s</w:t>
      </w:r>
      <w:r w:rsidRPr="00633402">
        <w:rPr>
          <w:color w:val="000000" w:themeColor="text1"/>
          <w:szCs w:val="28"/>
          <w:lang w:val="lv-LV"/>
        </w:rPr>
        <w:t xml:space="preserve"> – </w:t>
      </w:r>
      <w:r w:rsidRPr="009E5E7C">
        <w:rPr>
          <w:color w:val="000000" w:themeColor="text1"/>
          <w:szCs w:val="28"/>
          <w:lang w:val="lv-LV"/>
        </w:rPr>
        <w:t>valsts sekretāres Daces Vilsones personā</w:t>
      </w:r>
      <w:r w:rsidRPr="00633402">
        <w:rPr>
          <w:color w:val="000000" w:themeColor="text1"/>
          <w:szCs w:val="28"/>
          <w:lang w:val="lv-LV"/>
        </w:rPr>
        <w:t xml:space="preserve">, kura rīkojas uz Kultūras ministrijas 2019.gada 9.janvāra rīkojuma Nr.2.3-1-12 „Par valsts kapitāla daļu turētāja pārstāvjiem” </w:t>
      </w:r>
      <w:r w:rsidRPr="0068149C">
        <w:rPr>
          <w:szCs w:val="28"/>
          <w:lang w:val="lv-LV"/>
        </w:rPr>
        <w:t>1</w:t>
      </w:r>
      <w:r w:rsidRPr="00543F1E">
        <w:rPr>
          <w:szCs w:val="28"/>
          <w:lang w:val="lv-LV"/>
        </w:rPr>
        <w:t xml:space="preserve">.1.7.punkta pamata, pārstāvot visu valsts sabiedrības ar ierobežotu atbildību „Rīgas cirks”, reģistrācijas </w:t>
      </w:r>
      <w:r w:rsidRPr="00543F1E">
        <w:rPr>
          <w:szCs w:val="28"/>
          <w:lang w:val="lv-LV" w:eastAsia="lv-LV"/>
        </w:rPr>
        <w:t>Nr.40003027789,</w:t>
      </w:r>
      <w:r w:rsidRPr="00C12229">
        <w:rPr>
          <w:color w:val="000000" w:themeColor="text1"/>
          <w:szCs w:val="28"/>
          <w:lang w:val="lv-LV"/>
        </w:rPr>
        <w:t xml:space="preserve"> (turpmāk – kapitālsabiedrība) reģistrēto pamatkapitālu, ņemot vērā, ka nav apstiprināta kapitālsabiedrības vidēja termiņa darbības stratēģija 202</w:t>
      </w:r>
      <w:r w:rsidR="000D69B0">
        <w:rPr>
          <w:color w:val="000000" w:themeColor="text1"/>
          <w:szCs w:val="28"/>
          <w:lang w:val="lv-LV"/>
        </w:rPr>
        <w:t>5</w:t>
      </w:r>
      <w:r w:rsidRPr="00C12229">
        <w:rPr>
          <w:color w:val="000000" w:themeColor="text1"/>
          <w:szCs w:val="28"/>
          <w:lang w:val="lv-LV"/>
        </w:rPr>
        <w:t>.gadam</w:t>
      </w:r>
      <w:r w:rsidRPr="0056136D">
        <w:rPr>
          <w:color w:val="000000" w:themeColor="text1"/>
          <w:szCs w:val="28"/>
          <w:lang w:val="lv-LV"/>
        </w:rPr>
        <w:t xml:space="preserve">, </w:t>
      </w:r>
      <w:r w:rsidRPr="00384AA6">
        <w:rPr>
          <w:color w:val="000000" w:themeColor="text1"/>
          <w:szCs w:val="28"/>
          <w:lang w:val="lv-LV"/>
        </w:rPr>
        <w:t xml:space="preserve">ņemot vērā </w:t>
      </w:r>
      <w:r>
        <w:rPr>
          <w:color w:val="000000" w:themeColor="text1"/>
          <w:szCs w:val="28"/>
          <w:lang w:val="lv-LV"/>
        </w:rPr>
        <w:t xml:space="preserve">Kultūras ministrijas kā </w:t>
      </w:r>
      <w:r w:rsidRPr="00384AA6">
        <w:rPr>
          <w:color w:val="000000" w:themeColor="text1"/>
          <w:szCs w:val="28"/>
          <w:lang w:val="lv-LV"/>
        </w:rPr>
        <w:t>valsts kapitāl</w:t>
      </w:r>
      <w:r>
        <w:rPr>
          <w:color w:val="000000" w:themeColor="text1"/>
          <w:szCs w:val="28"/>
          <w:lang w:val="lv-LV"/>
        </w:rPr>
        <w:t xml:space="preserve">a </w:t>
      </w:r>
      <w:r w:rsidRPr="00384AA6">
        <w:rPr>
          <w:color w:val="000000" w:themeColor="text1"/>
          <w:szCs w:val="28"/>
          <w:lang w:val="lv-LV"/>
        </w:rPr>
        <w:t xml:space="preserve">daļu turētāja </w:t>
      </w:r>
      <w:r w:rsidRPr="00E71B97">
        <w:rPr>
          <w:lang w:val="lv-LV"/>
        </w:rPr>
        <w:t>202</w:t>
      </w:r>
      <w:r>
        <w:rPr>
          <w:lang w:val="lv-LV"/>
        </w:rPr>
        <w:t>3</w:t>
      </w:r>
      <w:r w:rsidRPr="00384AA6">
        <w:rPr>
          <w:rFonts w:eastAsia="Times New Roman"/>
          <w:szCs w:val="24"/>
          <w:lang w:val="lv-LV" w:eastAsia="lv-LV"/>
        </w:rPr>
        <w:t xml:space="preserve">.gada </w:t>
      </w:r>
      <w:r>
        <w:rPr>
          <w:rFonts w:eastAsia="Times New Roman"/>
          <w:szCs w:val="24"/>
          <w:lang w:val="lv-LV" w:eastAsia="lv-LV"/>
        </w:rPr>
        <w:t>12</w:t>
      </w:r>
      <w:r w:rsidRPr="00384AA6">
        <w:rPr>
          <w:rFonts w:eastAsia="Times New Roman"/>
          <w:szCs w:val="24"/>
          <w:lang w:val="lv-LV" w:eastAsia="lv-LV"/>
        </w:rPr>
        <w:t>.</w:t>
      </w:r>
      <w:r>
        <w:rPr>
          <w:rFonts w:eastAsia="Times New Roman"/>
          <w:szCs w:val="24"/>
          <w:lang w:val="lv-LV" w:eastAsia="lv-LV"/>
        </w:rPr>
        <w:t>oktob</w:t>
      </w:r>
      <w:r w:rsidRPr="00384AA6">
        <w:rPr>
          <w:rFonts w:eastAsia="Times New Roman"/>
          <w:szCs w:val="24"/>
          <w:lang w:val="lv-LV" w:eastAsia="lv-LV"/>
        </w:rPr>
        <w:t xml:space="preserve">ra </w:t>
      </w:r>
      <w:r w:rsidRPr="00384AA6">
        <w:rPr>
          <w:color w:val="000000" w:themeColor="text1"/>
          <w:szCs w:val="28"/>
          <w:lang w:val="lv-LV"/>
        </w:rPr>
        <w:t xml:space="preserve">gaidu </w:t>
      </w:r>
      <w:r w:rsidRPr="00D96C28">
        <w:rPr>
          <w:color w:val="000000" w:themeColor="text1"/>
          <w:szCs w:val="28"/>
          <w:lang w:val="lv-LV"/>
        </w:rPr>
        <w:t xml:space="preserve">vēstulē </w:t>
      </w:r>
      <w:r w:rsidRPr="00D96C28">
        <w:rPr>
          <w:rFonts w:eastAsia="Times New Roman"/>
          <w:szCs w:val="28"/>
          <w:lang w:val="lv-LV" w:eastAsia="lv-LV"/>
        </w:rPr>
        <w:t>Nr.</w:t>
      </w:r>
      <w:r w:rsidRPr="00D96C28">
        <w:rPr>
          <w:szCs w:val="28"/>
          <w:lang w:val="lv-LV"/>
        </w:rPr>
        <w:t xml:space="preserve">3.1.2-1/1333 </w:t>
      </w:r>
      <w:r w:rsidRPr="00D96C28">
        <w:rPr>
          <w:color w:val="000000" w:themeColor="text1"/>
          <w:szCs w:val="28"/>
          <w:lang w:val="lv-LV"/>
        </w:rPr>
        <w:t>„</w:t>
      </w:r>
      <w:r w:rsidRPr="00D96C28">
        <w:rPr>
          <w:bCs/>
          <w:szCs w:val="28"/>
          <w:lang w:val="lv-LV"/>
        </w:rPr>
        <w:t xml:space="preserve">Par valsts kapitāla daļu turētāja mērķiem un gaidām valsts sabiedrībā ar ierobežotu atbildību </w:t>
      </w:r>
      <w:r w:rsidRPr="00D96C28">
        <w:rPr>
          <w:szCs w:val="28"/>
          <w:lang w:val="lv-LV"/>
        </w:rPr>
        <w:t>„Rīgas cirks”</w:t>
      </w:r>
      <w:r w:rsidRPr="00D96C28">
        <w:rPr>
          <w:bCs/>
          <w:szCs w:val="28"/>
          <w:lang w:val="lv-LV"/>
        </w:rPr>
        <w:t xml:space="preserve"> 2024</w:t>
      </w:r>
      <w:r w:rsidRPr="00D96C28" w:rsidR="00A8096D">
        <w:rPr>
          <w:bCs/>
          <w:szCs w:val="28"/>
          <w:lang w:val="lv-LV"/>
        </w:rPr>
        <w:t>.</w:t>
      </w:r>
      <w:r w:rsidR="00A8096D">
        <w:rPr>
          <w:bCs/>
          <w:szCs w:val="28"/>
          <w:lang w:val="lv-LV"/>
        </w:rPr>
        <w:t>–</w:t>
      </w:r>
      <w:r w:rsidRPr="00D96C28">
        <w:rPr>
          <w:bCs/>
          <w:szCs w:val="28"/>
          <w:lang w:val="lv-LV"/>
        </w:rPr>
        <w:t xml:space="preserve">2026.gadā” (apstiprināta ar Kultūras ministrijas 2023.gada 17.oktobra lēmumu Nr.2.5-3-103 </w:t>
      </w:r>
      <w:r w:rsidRPr="00D96C28">
        <w:rPr>
          <w:color w:val="000000" w:themeColor="text1"/>
          <w:szCs w:val="28"/>
          <w:lang w:val="lv-LV"/>
        </w:rPr>
        <w:t xml:space="preserve">„Par valsts kapitāla daļu turētāja gaidu vēstules apstiprināšanu”) </w:t>
      </w:r>
      <w:r w:rsidRPr="00D96C28">
        <w:rPr>
          <w:bCs/>
          <w:szCs w:val="28"/>
          <w:lang w:val="lv-LV"/>
        </w:rPr>
        <w:t>noteikto</w:t>
      </w:r>
      <w:r w:rsidRPr="00D96C28">
        <w:rPr>
          <w:color w:val="000000" w:themeColor="text1"/>
          <w:szCs w:val="28"/>
          <w:lang w:val="lv-LV"/>
        </w:rPr>
        <w:t>, nolemj:</w:t>
      </w:r>
    </w:p>
    <w:p w:rsidR="0025664C" w:rsidRPr="00D96C28" w:rsidP="0025664C" w14:paraId="73A4336C" w14:textId="77777777">
      <w:pPr>
        <w:spacing w:after="0" w:line="240" w:lineRule="auto"/>
        <w:ind w:firstLine="720"/>
        <w:jc w:val="both"/>
        <w:rPr>
          <w:color w:val="000000" w:themeColor="text1"/>
          <w:szCs w:val="28"/>
          <w:lang w:val="lv-LV"/>
        </w:rPr>
      </w:pPr>
    </w:p>
    <w:p w:rsidR="0025664C" w:rsidRPr="00D96C28" w:rsidP="0025664C" w14:paraId="7D55B277" w14:textId="05E2F92D">
      <w:pPr>
        <w:pStyle w:val="ListParagraph"/>
        <w:numPr>
          <w:ilvl w:val="0"/>
          <w:numId w:val="12"/>
        </w:numPr>
        <w:ind w:left="641" w:hanging="357"/>
        <w:jc w:val="both"/>
        <w:rPr>
          <w:b/>
          <w:bCs/>
          <w:color w:val="000000" w:themeColor="text1"/>
          <w:sz w:val="28"/>
          <w:szCs w:val="28"/>
        </w:rPr>
      </w:pPr>
      <w:r w:rsidRPr="00D96C28">
        <w:rPr>
          <w:color w:val="000000" w:themeColor="text1"/>
          <w:sz w:val="28"/>
          <w:szCs w:val="28"/>
        </w:rPr>
        <w:t>apstiprināt šādus kapitālsabiedrībai sasniedzamos nefinanšu mērķus 202</w:t>
      </w:r>
      <w:r>
        <w:rPr>
          <w:color w:val="000000" w:themeColor="text1"/>
          <w:sz w:val="28"/>
          <w:szCs w:val="28"/>
        </w:rPr>
        <w:t>5</w:t>
      </w:r>
      <w:r w:rsidRPr="00D96C28">
        <w:rPr>
          <w:color w:val="000000" w:themeColor="text1"/>
          <w:sz w:val="28"/>
          <w:szCs w:val="28"/>
        </w:rPr>
        <w:t>.gadā:</w:t>
      </w:r>
    </w:p>
    <w:p w:rsidR="0025664C" w:rsidRPr="00D96C28" w:rsidP="0025664C" w14:paraId="5BAC6AC0" w14:textId="77777777">
      <w:pPr>
        <w:spacing w:after="0" w:line="240" w:lineRule="auto"/>
        <w:rPr>
          <w:szCs w:val="28"/>
          <w:lang w:val="lv-LV"/>
        </w:rPr>
      </w:pPr>
    </w:p>
    <w:tbl>
      <w:tblPr>
        <w:tblW w:w="88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4385"/>
        <w:gridCol w:w="3705"/>
      </w:tblGrid>
      <w:tr w14:paraId="4AB22B2D" w14:textId="77777777" w:rsidTr="00EE0AA7">
        <w:tblPrEx>
          <w:tblW w:w="8803" w:type="dxa"/>
          <w:jc w:val="right"/>
          <w:tblLook w:val="04A0"/>
        </w:tblPrEx>
        <w:trPr>
          <w:trHeight w:val="315"/>
          <w:jc w:val="right"/>
        </w:trPr>
        <w:tc>
          <w:tcPr>
            <w:tcW w:w="713" w:type="dxa"/>
            <w:vAlign w:val="center"/>
          </w:tcPr>
          <w:p w:rsidR="0025664C" w:rsidRPr="000D69B0" w:rsidP="00EE0AA7" w14:paraId="00883AC5" w14:textId="77777777">
            <w:pPr>
              <w:pStyle w:val="NoSpacing"/>
              <w:jc w:val="center"/>
              <w:rPr>
                <w:rFonts w:ascii="Times New Roman" w:hAnsi="Times New Roman"/>
                <w:b/>
                <w:bCs/>
                <w:sz w:val="28"/>
                <w:szCs w:val="28"/>
                <w:lang w:val="lv-LV"/>
              </w:rPr>
            </w:pPr>
            <w:r w:rsidRPr="000D69B0">
              <w:rPr>
                <w:rFonts w:ascii="Times New Roman" w:hAnsi="Times New Roman"/>
                <w:b/>
                <w:bCs/>
                <w:sz w:val="28"/>
                <w:szCs w:val="28"/>
                <w:lang w:val="lv-LV"/>
              </w:rPr>
              <w:t>Nr.</w:t>
            </w:r>
          </w:p>
        </w:tc>
        <w:tc>
          <w:tcPr>
            <w:tcW w:w="4385" w:type="dxa"/>
            <w:shd w:val="clear" w:color="auto" w:fill="auto"/>
            <w:vAlign w:val="center"/>
            <w:hideMark/>
          </w:tcPr>
          <w:p w:rsidR="0025664C" w:rsidRPr="000D69B0" w:rsidP="00EE0AA7" w14:paraId="05434414" w14:textId="77777777">
            <w:pPr>
              <w:pStyle w:val="NoSpacing"/>
              <w:jc w:val="center"/>
              <w:rPr>
                <w:rFonts w:ascii="Times New Roman" w:hAnsi="Times New Roman"/>
                <w:b/>
                <w:bCs/>
                <w:sz w:val="28"/>
                <w:szCs w:val="28"/>
                <w:lang w:val="lv-LV"/>
              </w:rPr>
            </w:pPr>
            <w:r w:rsidRPr="000D69B0">
              <w:rPr>
                <w:rFonts w:ascii="Times New Roman" w:hAnsi="Times New Roman"/>
                <w:b/>
                <w:bCs/>
                <w:sz w:val="28"/>
                <w:szCs w:val="28"/>
                <w:lang w:val="lv-LV"/>
              </w:rPr>
              <w:t>Nefinanšu mērķi</w:t>
            </w:r>
          </w:p>
        </w:tc>
        <w:tc>
          <w:tcPr>
            <w:tcW w:w="3705" w:type="dxa"/>
            <w:shd w:val="clear" w:color="auto" w:fill="F2F2F2" w:themeFill="background1" w:themeFillShade="F2"/>
            <w:vAlign w:val="center"/>
            <w:hideMark/>
          </w:tcPr>
          <w:p w:rsidR="0025664C" w:rsidRPr="000D69B0" w:rsidP="00EE0AA7" w14:paraId="009762B3" w14:textId="4D2C7164">
            <w:pPr>
              <w:pStyle w:val="NoSpacing"/>
              <w:jc w:val="center"/>
              <w:rPr>
                <w:rFonts w:ascii="Times New Roman" w:hAnsi="Times New Roman"/>
                <w:b/>
                <w:bCs/>
                <w:sz w:val="28"/>
                <w:szCs w:val="28"/>
                <w:lang w:val="lv-LV"/>
              </w:rPr>
            </w:pPr>
            <w:r w:rsidRPr="000D69B0">
              <w:rPr>
                <w:rFonts w:ascii="Times New Roman" w:hAnsi="Times New Roman"/>
                <w:b/>
                <w:bCs/>
                <w:sz w:val="28"/>
                <w:szCs w:val="28"/>
                <w:lang w:val="lv-LV"/>
              </w:rPr>
              <w:t>Plānotais 2025.gadā</w:t>
            </w:r>
          </w:p>
        </w:tc>
      </w:tr>
      <w:tr w14:paraId="1E8C4387" w14:textId="77777777" w:rsidTr="00EE0AA7">
        <w:tblPrEx>
          <w:tblW w:w="8803" w:type="dxa"/>
          <w:jc w:val="right"/>
          <w:tblLook w:val="04A0"/>
        </w:tblPrEx>
        <w:trPr>
          <w:trHeight w:val="191"/>
          <w:jc w:val="right"/>
        </w:trPr>
        <w:tc>
          <w:tcPr>
            <w:tcW w:w="713" w:type="dxa"/>
            <w:vAlign w:val="center"/>
          </w:tcPr>
          <w:p w:rsidR="0025664C" w:rsidRPr="000D69B0" w:rsidP="00EE0AA7" w14:paraId="302F361E"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1.</w:t>
            </w:r>
          </w:p>
        </w:tc>
        <w:tc>
          <w:tcPr>
            <w:tcW w:w="4385" w:type="dxa"/>
            <w:shd w:val="clear" w:color="auto" w:fill="auto"/>
            <w:vAlign w:val="center"/>
            <w:hideMark/>
          </w:tcPr>
          <w:p w:rsidR="0025664C" w:rsidRPr="000D69B0" w:rsidP="00EE0AA7" w14:paraId="1E3BE56E" w14:textId="77777777">
            <w:pPr>
              <w:spacing w:after="0" w:line="240" w:lineRule="auto"/>
              <w:jc w:val="both"/>
              <w:rPr>
                <w:rFonts w:eastAsiaTheme="minorHAnsi"/>
                <w:szCs w:val="28"/>
                <w:lang w:val="lv-LV"/>
              </w:rPr>
            </w:pPr>
            <w:r w:rsidRPr="000D69B0">
              <w:rPr>
                <w:szCs w:val="28"/>
                <w:lang w:val="lv-LV"/>
              </w:rPr>
              <w:t>Izrāžu skaits gadā, tai skaitā jauniešu un bērnu auditorijai vecumā līdz 17 gadiem domāto izrāžu skaits gadā</w:t>
            </w:r>
          </w:p>
        </w:tc>
        <w:tc>
          <w:tcPr>
            <w:tcW w:w="3705" w:type="dxa"/>
            <w:shd w:val="clear" w:color="auto" w:fill="F2F2F2" w:themeFill="background1" w:themeFillShade="F2"/>
            <w:vAlign w:val="center"/>
          </w:tcPr>
          <w:p w:rsidR="0025664C" w:rsidRPr="000D69B0" w:rsidP="00EE0AA7" w14:paraId="7ADD8034" w14:textId="7F94758C">
            <w:pPr>
              <w:pStyle w:val="NoSpacing"/>
              <w:jc w:val="center"/>
              <w:rPr>
                <w:rFonts w:ascii="Times New Roman" w:hAnsi="Times New Roman"/>
                <w:sz w:val="28"/>
                <w:szCs w:val="28"/>
                <w:lang w:val="lv-LV"/>
              </w:rPr>
            </w:pPr>
            <w:r w:rsidRPr="000D69B0">
              <w:rPr>
                <w:rFonts w:ascii="Times New Roman" w:hAnsi="Times New Roman"/>
                <w:sz w:val="28"/>
                <w:szCs w:val="28"/>
                <w:lang w:val="lv-LV"/>
              </w:rPr>
              <w:t>Izrāžu skaits gadā 7</w:t>
            </w:r>
            <w:r w:rsidRPr="000D69B0" w:rsidR="00930B02">
              <w:rPr>
                <w:rFonts w:ascii="Times New Roman" w:hAnsi="Times New Roman"/>
                <w:sz w:val="28"/>
                <w:szCs w:val="28"/>
                <w:lang w:val="lv-LV"/>
              </w:rPr>
              <w:t>5</w:t>
            </w:r>
            <w:r w:rsidRPr="000D69B0">
              <w:rPr>
                <w:rFonts w:ascii="Times New Roman" w:hAnsi="Times New Roman"/>
                <w:sz w:val="28"/>
                <w:szCs w:val="28"/>
                <w:lang w:val="lv-LV"/>
              </w:rPr>
              <w:t xml:space="preserve">, no tām </w:t>
            </w:r>
            <w:r w:rsidRPr="000D69B0" w:rsidR="00930B02">
              <w:rPr>
                <w:rFonts w:ascii="Times New Roman" w:hAnsi="Times New Roman"/>
                <w:sz w:val="28"/>
                <w:szCs w:val="28"/>
                <w:lang w:val="lv-LV"/>
              </w:rPr>
              <w:t>50</w:t>
            </w:r>
            <w:r w:rsidRPr="000D69B0">
              <w:rPr>
                <w:rFonts w:ascii="Times New Roman" w:hAnsi="Times New Roman"/>
                <w:sz w:val="28"/>
                <w:szCs w:val="28"/>
                <w:lang w:val="lv-LV"/>
              </w:rPr>
              <w:t xml:space="preserve"> izrādes bērnu un jauniešu auditorijai</w:t>
            </w:r>
          </w:p>
        </w:tc>
      </w:tr>
      <w:tr w14:paraId="1B37ED6E" w14:textId="77777777" w:rsidTr="00EE0AA7">
        <w:tblPrEx>
          <w:tblW w:w="8803" w:type="dxa"/>
          <w:jc w:val="right"/>
          <w:tblLook w:val="04A0"/>
        </w:tblPrEx>
        <w:trPr>
          <w:trHeight w:val="315"/>
          <w:jc w:val="right"/>
        </w:trPr>
        <w:tc>
          <w:tcPr>
            <w:tcW w:w="713" w:type="dxa"/>
            <w:vAlign w:val="center"/>
          </w:tcPr>
          <w:p w:rsidR="0025664C" w:rsidRPr="000D69B0" w:rsidP="00EE0AA7" w14:paraId="0607569B"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2.</w:t>
            </w:r>
          </w:p>
        </w:tc>
        <w:tc>
          <w:tcPr>
            <w:tcW w:w="4385" w:type="dxa"/>
            <w:shd w:val="clear" w:color="auto" w:fill="auto"/>
            <w:vAlign w:val="center"/>
            <w:hideMark/>
          </w:tcPr>
          <w:p w:rsidR="0025664C" w:rsidRPr="000D69B0" w:rsidP="00EE0AA7" w14:paraId="62923380" w14:textId="77777777">
            <w:pPr>
              <w:spacing w:after="0" w:line="240" w:lineRule="auto"/>
              <w:jc w:val="both"/>
              <w:rPr>
                <w:rFonts w:eastAsiaTheme="minorHAnsi"/>
                <w:szCs w:val="28"/>
                <w:lang w:val="lv-LV"/>
              </w:rPr>
            </w:pPr>
            <w:r w:rsidRPr="000D69B0">
              <w:rPr>
                <w:szCs w:val="28"/>
                <w:lang w:val="lv-LV"/>
              </w:rPr>
              <w:t>Iestudējumu skaits repertuārā gadā</w:t>
            </w:r>
          </w:p>
        </w:tc>
        <w:tc>
          <w:tcPr>
            <w:tcW w:w="3705" w:type="dxa"/>
            <w:shd w:val="clear" w:color="auto" w:fill="F2F2F2" w:themeFill="background1" w:themeFillShade="F2"/>
            <w:vAlign w:val="center"/>
          </w:tcPr>
          <w:p w:rsidR="0025664C" w:rsidRPr="000D69B0" w:rsidP="00EE0AA7" w14:paraId="1DCEA260"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19</w:t>
            </w:r>
          </w:p>
        </w:tc>
      </w:tr>
      <w:tr w14:paraId="0072EECA" w14:textId="77777777" w:rsidTr="00EE0AA7">
        <w:tblPrEx>
          <w:tblW w:w="8803" w:type="dxa"/>
          <w:jc w:val="right"/>
          <w:tblLook w:val="04A0"/>
        </w:tblPrEx>
        <w:trPr>
          <w:trHeight w:val="294"/>
          <w:jc w:val="right"/>
        </w:trPr>
        <w:tc>
          <w:tcPr>
            <w:tcW w:w="713" w:type="dxa"/>
            <w:vAlign w:val="center"/>
          </w:tcPr>
          <w:p w:rsidR="0025664C" w:rsidRPr="000D69B0" w:rsidP="00EE0AA7" w14:paraId="4B9C6369"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3.</w:t>
            </w:r>
          </w:p>
        </w:tc>
        <w:tc>
          <w:tcPr>
            <w:tcW w:w="4385" w:type="dxa"/>
            <w:shd w:val="clear" w:color="auto" w:fill="auto"/>
            <w:vAlign w:val="center"/>
            <w:hideMark/>
          </w:tcPr>
          <w:p w:rsidR="0025664C" w:rsidRPr="000D69B0" w:rsidP="00EE0AA7" w14:paraId="499E93CD" w14:textId="77777777">
            <w:pPr>
              <w:spacing w:after="0" w:line="240" w:lineRule="auto"/>
              <w:jc w:val="both"/>
              <w:rPr>
                <w:rFonts w:eastAsiaTheme="minorHAnsi"/>
                <w:szCs w:val="28"/>
                <w:lang w:val="lv-LV"/>
              </w:rPr>
            </w:pPr>
            <w:r w:rsidRPr="000D69B0">
              <w:rPr>
                <w:szCs w:val="28"/>
                <w:lang w:val="lv-LV"/>
              </w:rPr>
              <w:t xml:space="preserve">Apmeklējumu skaits gadā, tai skaitā jauniešu un bērnu auditorijai vecumā līdz 17 gadiem domāto izrāžu apmeklējumu skaits </w:t>
            </w:r>
          </w:p>
        </w:tc>
        <w:tc>
          <w:tcPr>
            <w:tcW w:w="3705" w:type="dxa"/>
            <w:shd w:val="clear" w:color="auto" w:fill="F2F2F2" w:themeFill="background1" w:themeFillShade="F2"/>
            <w:vAlign w:val="center"/>
          </w:tcPr>
          <w:p w:rsidR="0025664C" w:rsidRPr="000D69B0" w:rsidP="00EE0AA7" w14:paraId="63990573" w14:textId="229936E9">
            <w:pPr>
              <w:pStyle w:val="NoSpacing"/>
              <w:jc w:val="center"/>
              <w:rPr>
                <w:rFonts w:ascii="Times New Roman" w:hAnsi="Times New Roman"/>
                <w:sz w:val="28"/>
                <w:szCs w:val="28"/>
                <w:lang w:val="lv-LV"/>
              </w:rPr>
            </w:pPr>
            <w:r w:rsidRPr="000D69B0">
              <w:rPr>
                <w:rFonts w:ascii="Times New Roman" w:hAnsi="Times New Roman"/>
                <w:sz w:val="28"/>
                <w:szCs w:val="28"/>
                <w:lang w:val="lv-LV"/>
              </w:rPr>
              <w:t>20</w:t>
            </w:r>
            <w:r w:rsidRPr="000D69B0">
              <w:rPr>
                <w:rFonts w:ascii="Times New Roman" w:hAnsi="Times New Roman"/>
                <w:sz w:val="28"/>
                <w:szCs w:val="28"/>
                <w:lang w:val="lv-LV"/>
              </w:rPr>
              <w:t xml:space="preserve"> </w:t>
            </w:r>
            <w:r w:rsidRPr="000D69B0">
              <w:rPr>
                <w:rFonts w:ascii="Times New Roman" w:hAnsi="Times New Roman"/>
                <w:sz w:val="28"/>
                <w:szCs w:val="28"/>
                <w:lang w:val="lv-LV"/>
              </w:rPr>
              <w:t>0</w:t>
            </w:r>
            <w:r w:rsidRPr="000D69B0">
              <w:rPr>
                <w:rFonts w:ascii="Times New Roman" w:hAnsi="Times New Roman"/>
                <w:sz w:val="28"/>
                <w:szCs w:val="28"/>
                <w:lang w:val="lv-LV"/>
              </w:rPr>
              <w:t>00 apmeklējumu, no tiem 1</w:t>
            </w:r>
            <w:r w:rsidRPr="000D69B0">
              <w:rPr>
                <w:rFonts w:ascii="Times New Roman" w:hAnsi="Times New Roman"/>
                <w:sz w:val="28"/>
                <w:szCs w:val="28"/>
                <w:lang w:val="lv-LV"/>
              </w:rPr>
              <w:t>8</w:t>
            </w:r>
            <w:r w:rsidRPr="000D69B0">
              <w:rPr>
                <w:rFonts w:ascii="Times New Roman" w:hAnsi="Times New Roman"/>
                <w:sz w:val="28"/>
                <w:szCs w:val="28"/>
                <w:lang w:val="lv-LV"/>
              </w:rPr>
              <w:t> </w:t>
            </w:r>
            <w:r w:rsidRPr="000D69B0">
              <w:rPr>
                <w:rFonts w:ascii="Times New Roman" w:hAnsi="Times New Roman"/>
                <w:sz w:val="28"/>
                <w:szCs w:val="28"/>
                <w:lang w:val="lv-LV"/>
              </w:rPr>
              <w:t>0</w:t>
            </w:r>
            <w:r w:rsidRPr="000D69B0">
              <w:rPr>
                <w:rFonts w:ascii="Times New Roman" w:hAnsi="Times New Roman"/>
                <w:sz w:val="28"/>
                <w:szCs w:val="28"/>
                <w:lang w:val="lv-LV"/>
              </w:rPr>
              <w:t>00 bērni un jaunieši</w:t>
            </w:r>
          </w:p>
        </w:tc>
      </w:tr>
      <w:tr w14:paraId="7FDFA71F" w14:textId="77777777" w:rsidTr="00EE0AA7">
        <w:tblPrEx>
          <w:tblW w:w="8803" w:type="dxa"/>
          <w:jc w:val="right"/>
          <w:tblLook w:val="04A0"/>
        </w:tblPrEx>
        <w:trPr>
          <w:trHeight w:val="315"/>
          <w:jc w:val="right"/>
        </w:trPr>
        <w:tc>
          <w:tcPr>
            <w:tcW w:w="713" w:type="dxa"/>
            <w:vAlign w:val="center"/>
          </w:tcPr>
          <w:p w:rsidR="0025664C" w:rsidRPr="000D69B0" w:rsidP="00EE0AA7" w14:paraId="543F5EF9"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4.</w:t>
            </w:r>
          </w:p>
        </w:tc>
        <w:tc>
          <w:tcPr>
            <w:tcW w:w="4385" w:type="dxa"/>
            <w:shd w:val="clear" w:color="auto" w:fill="auto"/>
            <w:vAlign w:val="center"/>
            <w:hideMark/>
          </w:tcPr>
          <w:p w:rsidR="0025664C" w:rsidRPr="000D69B0" w:rsidP="00EE0AA7" w14:paraId="1E2B5B04" w14:textId="77777777">
            <w:pPr>
              <w:spacing w:after="0" w:line="240" w:lineRule="auto"/>
              <w:jc w:val="both"/>
              <w:rPr>
                <w:rFonts w:eastAsiaTheme="minorHAnsi"/>
                <w:szCs w:val="28"/>
                <w:lang w:val="lv-LV"/>
              </w:rPr>
            </w:pPr>
            <w:r w:rsidRPr="000D69B0">
              <w:rPr>
                <w:szCs w:val="28"/>
                <w:lang w:val="lv-LV"/>
              </w:rPr>
              <w:t>Kapitālsabiedrības izglītības programmas nodrošināšana bērniem, jauniešiem un pieaugušajiem</w:t>
            </w:r>
          </w:p>
        </w:tc>
        <w:tc>
          <w:tcPr>
            <w:tcW w:w="3705" w:type="dxa"/>
            <w:shd w:val="clear" w:color="auto" w:fill="F2F2F2" w:themeFill="background1" w:themeFillShade="F2"/>
            <w:vAlign w:val="center"/>
          </w:tcPr>
          <w:p w:rsidR="0025664C" w:rsidRPr="000D69B0" w:rsidP="00EE0AA7" w14:paraId="004F5E41" w14:textId="1810E3A7">
            <w:pPr>
              <w:pStyle w:val="NoSpacing"/>
              <w:jc w:val="center"/>
              <w:rPr>
                <w:rFonts w:ascii="Times New Roman" w:hAnsi="Times New Roman"/>
                <w:sz w:val="28"/>
                <w:szCs w:val="28"/>
                <w:lang w:val="lv-LV"/>
              </w:rPr>
            </w:pPr>
            <w:r w:rsidRPr="000D69B0">
              <w:rPr>
                <w:rFonts w:ascii="Times New Roman" w:hAnsi="Times New Roman"/>
                <w:sz w:val="28"/>
                <w:szCs w:val="28"/>
                <w:lang w:val="lv-LV"/>
              </w:rPr>
              <w:t>1</w:t>
            </w:r>
            <w:r w:rsidRPr="000D69B0" w:rsidR="00930B02">
              <w:rPr>
                <w:rFonts w:ascii="Times New Roman" w:hAnsi="Times New Roman"/>
                <w:sz w:val="28"/>
                <w:szCs w:val="28"/>
                <w:lang w:val="lv-LV"/>
              </w:rPr>
              <w:t>6</w:t>
            </w:r>
            <w:r w:rsidRPr="000D69B0">
              <w:rPr>
                <w:rFonts w:ascii="Times New Roman" w:hAnsi="Times New Roman"/>
                <w:sz w:val="28"/>
                <w:szCs w:val="28"/>
                <w:lang w:val="lv-LV"/>
              </w:rPr>
              <w:t xml:space="preserve"> regulārās nodarbību grupas ar ne mazāk kā 1</w:t>
            </w:r>
            <w:r w:rsidRPr="000D69B0" w:rsidR="00930B02">
              <w:rPr>
                <w:rFonts w:ascii="Times New Roman" w:hAnsi="Times New Roman"/>
                <w:sz w:val="28"/>
                <w:szCs w:val="28"/>
                <w:lang w:val="lv-LV"/>
              </w:rPr>
              <w:t>4</w:t>
            </w:r>
            <w:r w:rsidRPr="000D69B0">
              <w:rPr>
                <w:rFonts w:ascii="Times New Roman" w:hAnsi="Times New Roman"/>
                <w:sz w:val="28"/>
                <w:szCs w:val="28"/>
                <w:lang w:val="lv-LV"/>
              </w:rPr>
              <w:t xml:space="preserve">0 bērniem un jauniešiem līdz 17 gadiem un </w:t>
            </w:r>
            <w:r w:rsidRPr="000D69B0" w:rsidR="00930B02">
              <w:rPr>
                <w:rFonts w:ascii="Times New Roman" w:hAnsi="Times New Roman"/>
                <w:sz w:val="28"/>
                <w:szCs w:val="28"/>
                <w:lang w:val="lv-LV"/>
              </w:rPr>
              <w:t>5</w:t>
            </w:r>
            <w:r w:rsidRPr="000D69B0">
              <w:rPr>
                <w:rFonts w:ascii="Times New Roman" w:hAnsi="Times New Roman"/>
                <w:sz w:val="28"/>
                <w:szCs w:val="28"/>
                <w:lang w:val="lv-LV"/>
              </w:rPr>
              <w:t xml:space="preserve">0 pieaugušajiem, un vismaz </w:t>
            </w:r>
            <w:r w:rsidRPr="000D69B0" w:rsidR="00930B02">
              <w:rPr>
                <w:rFonts w:ascii="Times New Roman" w:hAnsi="Times New Roman"/>
                <w:sz w:val="28"/>
                <w:szCs w:val="28"/>
                <w:lang w:val="lv-LV"/>
              </w:rPr>
              <w:t>4</w:t>
            </w:r>
            <w:r w:rsidRPr="000D69B0">
              <w:rPr>
                <w:rFonts w:ascii="Times New Roman" w:hAnsi="Times New Roman"/>
                <w:sz w:val="28"/>
                <w:szCs w:val="28"/>
                <w:lang w:val="lv-LV"/>
              </w:rPr>
              <w:t xml:space="preserve">5 publiski pasākumi ar ne mazāk kā </w:t>
            </w:r>
            <w:r w:rsidRPr="000D69B0" w:rsidR="00930B02">
              <w:rPr>
                <w:rFonts w:ascii="Times New Roman" w:hAnsi="Times New Roman"/>
                <w:sz w:val="28"/>
                <w:szCs w:val="28"/>
                <w:lang w:val="lv-LV"/>
              </w:rPr>
              <w:t>9</w:t>
            </w:r>
            <w:r w:rsidRPr="000D69B0">
              <w:rPr>
                <w:rFonts w:ascii="Times New Roman" w:hAnsi="Times New Roman"/>
                <w:sz w:val="28"/>
                <w:szCs w:val="28"/>
                <w:lang w:val="lv-LV"/>
              </w:rPr>
              <w:t> </w:t>
            </w:r>
            <w:r w:rsidRPr="000D69B0" w:rsidR="00930B02">
              <w:rPr>
                <w:rFonts w:ascii="Times New Roman" w:hAnsi="Times New Roman"/>
                <w:sz w:val="28"/>
                <w:szCs w:val="28"/>
                <w:lang w:val="lv-LV"/>
              </w:rPr>
              <w:t>0</w:t>
            </w:r>
            <w:r w:rsidRPr="000D69B0">
              <w:rPr>
                <w:rFonts w:ascii="Times New Roman" w:hAnsi="Times New Roman"/>
                <w:sz w:val="28"/>
                <w:szCs w:val="28"/>
                <w:lang w:val="lv-LV"/>
              </w:rPr>
              <w:t>00 īslaicīgi iesaistītiem audzēkņiem</w:t>
            </w:r>
          </w:p>
        </w:tc>
      </w:tr>
      <w:tr w14:paraId="514C5D72" w14:textId="77777777" w:rsidTr="00EE0AA7">
        <w:tblPrEx>
          <w:tblW w:w="8803" w:type="dxa"/>
          <w:jc w:val="right"/>
          <w:tblLook w:val="04A0"/>
        </w:tblPrEx>
        <w:trPr>
          <w:trHeight w:val="315"/>
          <w:jc w:val="right"/>
        </w:trPr>
        <w:tc>
          <w:tcPr>
            <w:tcW w:w="713" w:type="dxa"/>
            <w:vAlign w:val="center"/>
          </w:tcPr>
          <w:p w:rsidR="0025664C" w:rsidRPr="000D69B0" w:rsidP="00EE0AA7" w14:paraId="421B435A"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5.</w:t>
            </w:r>
          </w:p>
        </w:tc>
        <w:tc>
          <w:tcPr>
            <w:tcW w:w="4385" w:type="dxa"/>
            <w:shd w:val="clear" w:color="auto" w:fill="auto"/>
            <w:vAlign w:val="center"/>
          </w:tcPr>
          <w:p w:rsidR="0025664C" w:rsidRPr="000D69B0" w:rsidP="00EE0AA7" w14:paraId="2AF3BBEC" w14:textId="77777777">
            <w:pPr>
              <w:spacing w:after="0" w:line="240" w:lineRule="auto"/>
              <w:jc w:val="both"/>
              <w:rPr>
                <w:szCs w:val="28"/>
                <w:lang w:val="lv-LV"/>
              </w:rPr>
            </w:pPr>
            <w:r w:rsidRPr="000D69B0">
              <w:rPr>
                <w:szCs w:val="28"/>
                <w:lang w:val="lv-LV"/>
              </w:rPr>
              <w:t>Pasākumi, kas sekmē Kapitālsabiedrības pakalpojumu pieejamību dažādām sabiedrības mērķgrupām</w:t>
            </w:r>
          </w:p>
        </w:tc>
        <w:tc>
          <w:tcPr>
            <w:tcW w:w="3705" w:type="dxa"/>
            <w:shd w:val="clear" w:color="auto" w:fill="F2F2F2" w:themeFill="background1" w:themeFillShade="F2"/>
            <w:vAlign w:val="center"/>
          </w:tcPr>
          <w:p w:rsidR="0025664C" w:rsidRPr="000D69B0" w:rsidP="00EE0AA7" w14:paraId="637D199C" w14:textId="1B95A60F">
            <w:pPr>
              <w:pStyle w:val="NoSpacing"/>
              <w:jc w:val="center"/>
              <w:rPr>
                <w:rFonts w:ascii="Times New Roman" w:hAnsi="Times New Roman"/>
                <w:sz w:val="28"/>
                <w:szCs w:val="28"/>
                <w:lang w:val="lv-LV"/>
              </w:rPr>
            </w:pPr>
            <w:r w:rsidRPr="000D69B0">
              <w:rPr>
                <w:rFonts w:ascii="Times New Roman" w:hAnsi="Times New Roman"/>
                <w:sz w:val="28"/>
                <w:szCs w:val="28"/>
                <w:lang w:val="lv-LV"/>
              </w:rPr>
              <w:t>Biļetes par pazeminātām cenām (ne mazāk par 10</w:t>
            </w:r>
            <w:r w:rsidR="00FB5CA3">
              <w:rPr>
                <w:rFonts w:ascii="Times New Roman" w:hAnsi="Times New Roman"/>
                <w:sz w:val="28"/>
                <w:szCs w:val="28"/>
                <w:lang w:val="lv-LV"/>
              </w:rPr>
              <w:t> </w:t>
            </w:r>
            <w:r w:rsidRPr="000D69B0">
              <w:rPr>
                <w:rFonts w:ascii="Times New Roman" w:hAnsi="Times New Roman"/>
                <w:sz w:val="28"/>
                <w:szCs w:val="28"/>
                <w:lang w:val="lv-LV"/>
              </w:rPr>
              <w:t xml:space="preserve">% no vidējās biļešu cenas) ne mazāk kā </w:t>
            </w:r>
            <w:r w:rsidRPr="000D69B0" w:rsidR="00930B02">
              <w:rPr>
                <w:rFonts w:ascii="Times New Roman" w:hAnsi="Times New Roman"/>
                <w:sz w:val="28"/>
                <w:szCs w:val="28"/>
                <w:lang w:val="lv-LV"/>
              </w:rPr>
              <w:t>4 800</w:t>
            </w:r>
            <w:r w:rsidRPr="000D69B0">
              <w:rPr>
                <w:rFonts w:ascii="Times New Roman" w:hAnsi="Times New Roman"/>
                <w:sz w:val="28"/>
                <w:szCs w:val="28"/>
                <w:lang w:val="lv-LV"/>
              </w:rPr>
              <w:t xml:space="preserve"> apmeklētājiem</w:t>
            </w:r>
          </w:p>
        </w:tc>
      </w:tr>
      <w:tr w14:paraId="7E5E4826" w14:textId="77777777" w:rsidTr="00EE0AA7">
        <w:tblPrEx>
          <w:tblW w:w="8803" w:type="dxa"/>
          <w:jc w:val="right"/>
          <w:tblLook w:val="04A0"/>
        </w:tblPrEx>
        <w:trPr>
          <w:trHeight w:val="315"/>
          <w:jc w:val="right"/>
        </w:trPr>
        <w:tc>
          <w:tcPr>
            <w:tcW w:w="713" w:type="dxa"/>
            <w:vAlign w:val="center"/>
          </w:tcPr>
          <w:p w:rsidR="0025664C" w:rsidRPr="000D69B0" w:rsidP="00EE0AA7" w14:paraId="79A9CE34"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6.</w:t>
            </w:r>
          </w:p>
        </w:tc>
        <w:tc>
          <w:tcPr>
            <w:tcW w:w="4385" w:type="dxa"/>
            <w:shd w:val="clear" w:color="auto" w:fill="auto"/>
            <w:vAlign w:val="center"/>
          </w:tcPr>
          <w:p w:rsidR="0025664C" w:rsidRPr="000D69B0" w:rsidP="00EE0AA7" w14:paraId="0258A166" w14:textId="77777777">
            <w:pPr>
              <w:spacing w:after="0" w:line="240" w:lineRule="auto"/>
              <w:jc w:val="both"/>
              <w:rPr>
                <w:szCs w:val="28"/>
                <w:lang w:val="lv-LV"/>
              </w:rPr>
            </w:pPr>
            <w:r w:rsidRPr="000D69B0">
              <w:rPr>
                <w:szCs w:val="28"/>
                <w:lang w:val="lv-LV"/>
              </w:rPr>
              <w:t>Starptautiskās sadarbības projekti (kopražojumi, dalība starptautiskajās platformās, meistarklases, izrādes ārvalstīs u.c.)</w:t>
            </w:r>
          </w:p>
        </w:tc>
        <w:tc>
          <w:tcPr>
            <w:tcW w:w="3705" w:type="dxa"/>
            <w:shd w:val="clear" w:color="auto" w:fill="F2F2F2" w:themeFill="background1" w:themeFillShade="F2"/>
            <w:vAlign w:val="center"/>
          </w:tcPr>
          <w:p w:rsidR="0025664C" w:rsidRPr="000D69B0" w:rsidP="00EE0AA7" w14:paraId="1D3466F3"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10</w:t>
            </w:r>
          </w:p>
        </w:tc>
      </w:tr>
    </w:tbl>
    <w:p w:rsidR="0025664C" w:rsidRPr="00D96C28" w:rsidP="0025664C" w14:paraId="0202E2C7" w14:textId="77777777">
      <w:pPr>
        <w:pStyle w:val="ListParagraph"/>
        <w:ind w:left="641"/>
        <w:jc w:val="both"/>
        <w:rPr>
          <w:sz w:val="28"/>
          <w:szCs w:val="28"/>
        </w:rPr>
      </w:pPr>
    </w:p>
    <w:p w:rsidR="0025664C" w:rsidRPr="00D96C28" w:rsidP="0025664C" w14:paraId="43C2A144" w14:textId="4DB5A9BD">
      <w:pPr>
        <w:pStyle w:val="ListParagraph"/>
        <w:numPr>
          <w:ilvl w:val="0"/>
          <w:numId w:val="12"/>
        </w:numPr>
        <w:ind w:left="641" w:hanging="357"/>
        <w:jc w:val="both"/>
        <w:rPr>
          <w:sz w:val="28"/>
          <w:szCs w:val="28"/>
        </w:rPr>
      </w:pPr>
      <w:r w:rsidRPr="00D96C28">
        <w:rPr>
          <w:sz w:val="28"/>
          <w:szCs w:val="28"/>
        </w:rPr>
        <w:t>apstiprināt šādus kapitālsabiedrībai sasniedzamos finanšu mērķus 202</w:t>
      </w:r>
      <w:r>
        <w:rPr>
          <w:sz w:val="28"/>
          <w:szCs w:val="28"/>
        </w:rPr>
        <w:t>5</w:t>
      </w:r>
      <w:r w:rsidRPr="00D96C28">
        <w:rPr>
          <w:sz w:val="28"/>
          <w:szCs w:val="28"/>
        </w:rPr>
        <w:t>.gadā:</w:t>
      </w:r>
    </w:p>
    <w:p w:rsidR="0025664C" w:rsidRPr="00D96C28" w:rsidP="0025664C" w14:paraId="1CB197A8" w14:textId="77777777">
      <w:pPr>
        <w:pStyle w:val="ListParagraph"/>
        <w:ind w:left="641"/>
        <w:jc w:val="both"/>
        <w:rPr>
          <w:sz w:val="28"/>
          <w:szCs w:val="28"/>
        </w:rPr>
      </w:pPr>
    </w:p>
    <w:tbl>
      <w:tblPr>
        <w:tblW w:w="88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4385"/>
        <w:gridCol w:w="3705"/>
      </w:tblGrid>
      <w:tr w14:paraId="3F45F2C3" w14:textId="77777777" w:rsidTr="00EE0AA7">
        <w:tblPrEx>
          <w:tblW w:w="8803" w:type="dxa"/>
          <w:jc w:val="right"/>
          <w:tblLook w:val="04A0"/>
        </w:tblPrEx>
        <w:trPr>
          <w:trHeight w:val="257"/>
          <w:jc w:val="right"/>
        </w:trPr>
        <w:tc>
          <w:tcPr>
            <w:tcW w:w="713" w:type="dxa"/>
            <w:vAlign w:val="center"/>
          </w:tcPr>
          <w:p w:rsidR="0025664C" w:rsidRPr="000D69B0" w:rsidP="00EE0AA7" w14:paraId="6413CC5D" w14:textId="77777777">
            <w:pPr>
              <w:pStyle w:val="NoSpacing"/>
              <w:jc w:val="center"/>
              <w:rPr>
                <w:rFonts w:ascii="Times New Roman" w:hAnsi="Times New Roman"/>
                <w:b/>
                <w:bCs/>
                <w:sz w:val="28"/>
                <w:szCs w:val="28"/>
                <w:lang w:val="lv-LV"/>
              </w:rPr>
            </w:pPr>
            <w:r w:rsidRPr="000D69B0">
              <w:rPr>
                <w:rFonts w:ascii="Times New Roman" w:hAnsi="Times New Roman"/>
                <w:b/>
                <w:bCs/>
                <w:sz w:val="28"/>
                <w:szCs w:val="28"/>
                <w:lang w:val="lv-LV"/>
              </w:rPr>
              <w:t>Nr.</w:t>
            </w:r>
          </w:p>
        </w:tc>
        <w:tc>
          <w:tcPr>
            <w:tcW w:w="4385" w:type="dxa"/>
            <w:shd w:val="clear" w:color="auto" w:fill="auto"/>
            <w:vAlign w:val="center"/>
            <w:hideMark/>
          </w:tcPr>
          <w:p w:rsidR="0025664C" w:rsidRPr="000D69B0" w:rsidP="00EE0AA7" w14:paraId="6693FECC" w14:textId="77777777">
            <w:pPr>
              <w:pStyle w:val="NoSpacing"/>
              <w:jc w:val="center"/>
              <w:rPr>
                <w:rFonts w:ascii="Times New Roman" w:hAnsi="Times New Roman"/>
                <w:b/>
                <w:bCs/>
                <w:sz w:val="28"/>
                <w:szCs w:val="28"/>
                <w:lang w:val="lv-LV"/>
              </w:rPr>
            </w:pPr>
            <w:r w:rsidRPr="000D69B0">
              <w:rPr>
                <w:rFonts w:ascii="Times New Roman" w:hAnsi="Times New Roman"/>
                <w:b/>
                <w:bCs/>
                <w:sz w:val="28"/>
                <w:szCs w:val="28"/>
                <w:lang w:val="lv-LV"/>
              </w:rPr>
              <w:t>Finanšu mērķi</w:t>
            </w:r>
          </w:p>
        </w:tc>
        <w:tc>
          <w:tcPr>
            <w:tcW w:w="3705" w:type="dxa"/>
            <w:shd w:val="clear" w:color="auto" w:fill="F2F2F2" w:themeFill="background1" w:themeFillShade="F2"/>
            <w:noWrap/>
            <w:vAlign w:val="center"/>
            <w:hideMark/>
          </w:tcPr>
          <w:p w:rsidR="0025664C" w:rsidRPr="000D69B0" w:rsidP="00EE0AA7" w14:paraId="56A2D158" w14:textId="4F625D65">
            <w:pPr>
              <w:pStyle w:val="NoSpacing"/>
              <w:jc w:val="center"/>
              <w:rPr>
                <w:rFonts w:ascii="Times New Roman" w:hAnsi="Times New Roman"/>
                <w:b/>
                <w:bCs/>
                <w:sz w:val="28"/>
                <w:szCs w:val="28"/>
                <w:lang w:val="lv-LV"/>
              </w:rPr>
            </w:pPr>
            <w:r w:rsidRPr="000D69B0">
              <w:rPr>
                <w:rFonts w:ascii="Times New Roman" w:hAnsi="Times New Roman"/>
                <w:b/>
                <w:bCs/>
                <w:sz w:val="28"/>
                <w:szCs w:val="28"/>
                <w:lang w:val="lv-LV"/>
              </w:rPr>
              <w:t>Plānotais 2025.gadā</w:t>
            </w:r>
          </w:p>
        </w:tc>
      </w:tr>
      <w:tr w14:paraId="323588A4" w14:textId="77777777" w:rsidTr="00EE0AA7">
        <w:tblPrEx>
          <w:tblW w:w="8803" w:type="dxa"/>
          <w:jc w:val="right"/>
          <w:tblLook w:val="04A0"/>
        </w:tblPrEx>
        <w:trPr>
          <w:trHeight w:val="251"/>
          <w:jc w:val="right"/>
        </w:trPr>
        <w:tc>
          <w:tcPr>
            <w:tcW w:w="713" w:type="dxa"/>
            <w:vAlign w:val="center"/>
          </w:tcPr>
          <w:p w:rsidR="0025664C" w:rsidRPr="000D69B0" w:rsidP="00EE0AA7" w14:paraId="797EFBDA"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1.</w:t>
            </w:r>
          </w:p>
        </w:tc>
        <w:tc>
          <w:tcPr>
            <w:tcW w:w="4385" w:type="dxa"/>
            <w:shd w:val="clear" w:color="auto" w:fill="auto"/>
            <w:vAlign w:val="center"/>
            <w:hideMark/>
          </w:tcPr>
          <w:p w:rsidR="0025664C" w:rsidRPr="000D69B0" w:rsidP="00EE0AA7" w14:paraId="1790D24F" w14:textId="77777777">
            <w:pPr>
              <w:pStyle w:val="NoSpacing"/>
              <w:jc w:val="both"/>
              <w:rPr>
                <w:rFonts w:ascii="Times New Roman" w:hAnsi="Times New Roman"/>
                <w:sz w:val="28"/>
                <w:szCs w:val="28"/>
                <w:lang w:val="lv-LV"/>
              </w:rPr>
            </w:pPr>
            <w:r w:rsidRPr="000D69B0">
              <w:rPr>
                <w:rFonts w:ascii="Times New Roman" w:hAnsi="Times New Roman"/>
                <w:sz w:val="28"/>
                <w:szCs w:val="28"/>
                <w:lang w:val="lv-LV"/>
              </w:rPr>
              <w:t>Kopējā likviditāte</w:t>
            </w:r>
          </w:p>
        </w:tc>
        <w:tc>
          <w:tcPr>
            <w:tcW w:w="3705" w:type="dxa"/>
            <w:shd w:val="clear" w:color="auto" w:fill="F2F2F2" w:themeFill="background1" w:themeFillShade="F2"/>
            <w:noWrap/>
            <w:vAlign w:val="center"/>
          </w:tcPr>
          <w:p w:rsidR="0025664C" w:rsidRPr="000D69B0" w:rsidP="00EE0AA7" w14:paraId="29E0DAC5" w14:textId="77777777">
            <w:pPr>
              <w:spacing w:after="0" w:line="240" w:lineRule="auto"/>
              <w:jc w:val="center"/>
              <w:rPr>
                <w:rFonts w:eastAsiaTheme="minorHAnsi"/>
                <w:szCs w:val="28"/>
                <w:lang w:val="lv-LV"/>
              </w:rPr>
            </w:pPr>
            <w:r w:rsidRPr="000D69B0">
              <w:rPr>
                <w:szCs w:val="28"/>
                <w:lang w:val="lv-LV"/>
              </w:rPr>
              <w:t>1</w:t>
            </w:r>
          </w:p>
        </w:tc>
      </w:tr>
      <w:tr w14:paraId="450E6E82" w14:textId="77777777" w:rsidTr="00EE0AA7">
        <w:tblPrEx>
          <w:tblW w:w="8803" w:type="dxa"/>
          <w:jc w:val="right"/>
          <w:tblLook w:val="04A0"/>
        </w:tblPrEx>
        <w:trPr>
          <w:trHeight w:val="258"/>
          <w:jc w:val="right"/>
        </w:trPr>
        <w:tc>
          <w:tcPr>
            <w:tcW w:w="713" w:type="dxa"/>
            <w:vAlign w:val="center"/>
          </w:tcPr>
          <w:p w:rsidR="0025664C" w:rsidRPr="000D69B0" w:rsidP="00EE0AA7" w14:paraId="4AC7C395"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2.</w:t>
            </w:r>
          </w:p>
        </w:tc>
        <w:tc>
          <w:tcPr>
            <w:tcW w:w="4385" w:type="dxa"/>
            <w:shd w:val="clear" w:color="auto" w:fill="auto"/>
            <w:vAlign w:val="center"/>
            <w:hideMark/>
          </w:tcPr>
          <w:p w:rsidR="0025664C" w:rsidRPr="000D69B0" w:rsidP="00EE0AA7" w14:paraId="6CA71A52" w14:textId="77777777">
            <w:pPr>
              <w:pStyle w:val="NoSpacing"/>
              <w:rPr>
                <w:rFonts w:ascii="Times New Roman" w:hAnsi="Times New Roman"/>
                <w:sz w:val="28"/>
                <w:szCs w:val="28"/>
                <w:lang w:val="lv-LV"/>
              </w:rPr>
            </w:pPr>
            <w:r w:rsidRPr="000D69B0">
              <w:rPr>
                <w:rFonts w:ascii="Times New Roman" w:hAnsi="Times New Roman"/>
                <w:sz w:val="28"/>
                <w:szCs w:val="28"/>
                <w:lang w:val="lv-LV"/>
              </w:rPr>
              <w:t>Naudas plūsma</w:t>
            </w:r>
          </w:p>
        </w:tc>
        <w:tc>
          <w:tcPr>
            <w:tcW w:w="3705" w:type="dxa"/>
            <w:shd w:val="clear" w:color="auto" w:fill="F2F2F2" w:themeFill="background1" w:themeFillShade="F2"/>
            <w:noWrap/>
            <w:vAlign w:val="center"/>
          </w:tcPr>
          <w:p w:rsidR="0025664C" w:rsidRPr="000D69B0" w:rsidP="00EE0AA7" w14:paraId="61A9AAE8"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pozitīva</w:t>
            </w:r>
          </w:p>
        </w:tc>
      </w:tr>
      <w:tr w14:paraId="3DBEC7DB" w14:textId="77777777" w:rsidTr="00EE0AA7">
        <w:tblPrEx>
          <w:tblW w:w="8803" w:type="dxa"/>
          <w:jc w:val="right"/>
          <w:tblLook w:val="04A0"/>
        </w:tblPrEx>
        <w:trPr>
          <w:trHeight w:val="206"/>
          <w:jc w:val="right"/>
        </w:trPr>
        <w:tc>
          <w:tcPr>
            <w:tcW w:w="713" w:type="dxa"/>
            <w:vAlign w:val="center"/>
          </w:tcPr>
          <w:p w:rsidR="0025664C" w:rsidRPr="000D69B0" w:rsidP="00EE0AA7" w14:paraId="55B23E1A"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3.</w:t>
            </w:r>
          </w:p>
        </w:tc>
        <w:tc>
          <w:tcPr>
            <w:tcW w:w="4385" w:type="dxa"/>
            <w:shd w:val="clear" w:color="auto" w:fill="auto"/>
            <w:vAlign w:val="center"/>
            <w:hideMark/>
          </w:tcPr>
          <w:p w:rsidR="0025664C" w:rsidRPr="000D69B0" w:rsidP="00EE0AA7" w14:paraId="32055339" w14:textId="77777777">
            <w:pPr>
              <w:pStyle w:val="NoSpacing"/>
              <w:jc w:val="both"/>
              <w:rPr>
                <w:rFonts w:ascii="Times New Roman" w:hAnsi="Times New Roman"/>
                <w:sz w:val="28"/>
                <w:szCs w:val="28"/>
                <w:lang w:val="lv-LV"/>
              </w:rPr>
            </w:pPr>
            <w:r w:rsidRPr="000D69B0">
              <w:rPr>
                <w:rFonts w:ascii="Times New Roman" w:hAnsi="Times New Roman"/>
                <w:sz w:val="28"/>
                <w:szCs w:val="28"/>
                <w:lang w:val="lv-LV"/>
              </w:rPr>
              <w:t>Pašu ieņēmumu īpatsvars pret kopējiem ieņēmumiem</w:t>
            </w:r>
          </w:p>
        </w:tc>
        <w:tc>
          <w:tcPr>
            <w:tcW w:w="3705" w:type="dxa"/>
            <w:shd w:val="clear" w:color="auto" w:fill="F2F2F2" w:themeFill="background1" w:themeFillShade="F2"/>
            <w:noWrap/>
            <w:vAlign w:val="center"/>
          </w:tcPr>
          <w:p w:rsidR="0025664C" w:rsidRPr="000D69B0" w:rsidP="00EE0AA7" w14:paraId="11567B24" w14:textId="07690390">
            <w:pPr>
              <w:spacing w:after="0" w:line="240" w:lineRule="auto"/>
              <w:jc w:val="center"/>
              <w:rPr>
                <w:rFonts w:eastAsiaTheme="minorHAnsi"/>
                <w:bCs/>
                <w:szCs w:val="28"/>
                <w:lang w:val="lv-LV"/>
              </w:rPr>
            </w:pPr>
            <w:r w:rsidRPr="000D69B0">
              <w:rPr>
                <w:szCs w:val="28"/>
                <w:lang w:val="lv-LV"/>
              </w:rPr>
              <w:t>&gt;45,1</w:t>
            </w:r>
            <w:r w:rsidR="00FB5CA3">
              <w:rPr>
                <w:szCs w:val="28"/>
                <w:lang w:val="lv-LV"/>
              </w:rPr>
              <w:t> </w:t>
            </w:r>
            <w:r w:rsidRPr="000D69B0">
              <w:rPr>
                <w:szCs w:val="28"/>
                <w:lang w:val="lv-LV"/>
              </w:rPr>
              <w:t>%</w:t>
            </w:r>
          </w:p>
        </w:tc>
      </w:tr>
      <w:tr w14:paraId="6EA2B91A" w14:textId="77777777" w:rsidTr="00EE0AA7">
        <w:tblPrEx>
          <w:tblW w:w="8803" w:type="dxa"/>
          <w:jc w:val="right"/>
          <w:tblLook w:val="04A0"/>
        </w:tblPrEx>
        <w:trPr>
          <w:trHeight w:val="206"/>
          <w:jc w:val="right"/>
        </w:trPr>
        <w:tc>
          <w:tcPr>
            <w:tcW w:w="713" w:type="dxa"/>
            <w:vAlign w:val="center"/>
          </w:tcPr>
          <w:p w:rsidR="0025664C" w:rsidRPr="000D69B0" w:rsidP="00EE0AA7" w14:paraId="5B05E3BD" w14:textId="77777777">
            <w:pPr>
              <w:pStyle w:val="NoSpacing"/>
              <w:jc w:val="center"/>
              <w:rPr>
                <w:rFonts w:ascii="Times New Roman" w:hAnsi="Times New Roman"/>
                <w:sz w:val="28"/>
                <w:szCs w:val="28"/>
                <w:lang w:val="lv-LV"/>
              </w:rPr>
            </w:pPr>
            <w:r w:rsidRPr="000D69B0">
              <w:rPr>
                <w:rFonts w:ascii="Times New Roman" w:hAnsi="Times New Roman"/>
                <w:sz w:val="28"/>
                <w:szCs w:val="28"/>
                <w:lang w:val="lv-LV"/>
              </w:rPr>
              <w:t>4.</w:t>
            </w:r>
          </w:p>
        </w:tc>
        <w:tc>
          <w:tcPr>
            <w:tcW w:w="4385" w:type="dxa"/>
            <w:shd w:val="clear" w:color="auto" w:fill="auto"/>
            <w:vAlign w:val="center"/>
          </w:tcPr>
          <w:p w:rsidR="0025664C" w:rsidRPr="000D69B0" w:rsidP="00EE0AA7" w14:paraId="0BFEB8EF" w14:textId="77777777">
            <w:pPr>
              <w:pStyle w:val="NoSpacing"/>
              <w:jc w:val="both"/>
              <w:rPr>
                <w:rFonts w:ascii="Times New Roman" w:hAnsi="Times New Roman"/>
                <w:sz w:val="28"/>
                <w:szCs w:val="28"/>
                <w:lang w:val="lv-LV"/>
              </w:rPr>
            </w:pPr>
            <w:r w:rsidRPr="000D69B0">
              <w:rPr>
                <w:rFonts w:ascii="Times New Roman" w:hAnsi="Times New Roman"/>
                <w:sz w:val="28"/>
                <w:szCs w:val="28"/>
                <w:lang w:val="lv-LV"/>
              </w:rPr>
              <w:t>Mārketinga un pārdošanas izdevumi, administratīvie izdevumi</w:t>
            </w:r>
          </w:p>
        </w:tc>
        <w:tc>
          <w:tcPr>
            <w:tcW w:w="3705" w:type="dxa"/>
            <w:shd w:val="clear" w:color="auto" w:fill="F2F2F2" w:themeFill="background1" w:themeFillShade="F2"/>
            <w:noWrap/>
            <w:vAlign w:val="center"/>
          </w:tcPr>
          <w:p w:rsidR="0025664C" w:rsidRPr="000D69B0" w:rsidP="00EE0AA7" w14:paraId="4609522F" w14:textId="0970AA57">
            <w:pPr>
              <w:spacing w:after="0" w:line="240" w:lineRule="auto"/>
              <w:jc w:val="center"/>
              <w:rPr>
                <w:bCs/>
                <w:szCs w:val="28"/>
                <w:lang w:val="lv-LV"/>
              </w:rPr>
            </w:pPr>
            <w:r w:rsidRPr="000D69B0">
              <w:rPr>
                <w:szCs w:val="28"/>
                <w:lang w:val="lv-LV"/>
              </w:rPr>
              <w:t>pieaugums ne vairāk kā 10</w:t>
            </w:r>
            <w:r w:rsidR="00FB5CA3">
              <w:rPr>
                <w:szCs w:val="28"/>
                <w:lang w:val="lv-LV"/>
              </w:rPr>
              <w:t> </w:t>
            </w:r>
            <w:r w:rsidRPr="000D69B0">
              <w:rPr>
                <w:szCs w:val="28"/>
                <w:lang w:val="lv-LV"/>
              </w:rPr>
              <w:t>% pret iepriekšējo gadu</w:t>
            </w:r>
          </w:p>
        </w:tc>
      </w:tr>
    </w:tbl>
    <w:p w:rsidR="0025664C" w:rsidRPr="005A3A59" w:rsidP="0025664C" w14:paraId="73A40717" w14:textId="77777777">
      <w:pPr>
        <w:spacing w:after="0" w:line="240" w:lineRule="auto"/>
        <w:jc w:val="both"/>
        <w:rPr>
          <w:sz w:val="24"/>
          <w:szCs w:val="24"/>
          <w:lang w:val="lv-LV"/>
        </w:rPr>
      </w:pPr>
    </w:p>
    <w:p w:rsidR="0025664C" w:rsidRPr="00633402" w:rsidP="0025664C" w14:paraId="76B0E5E1" w14:textId="77777777">
      <w:pPr>
        <w:spacing w:after="0" w:line="240" w:lineRule="auto"/>
        <w:jc w:val="both"/>
        <w:rPr>
          <w:sz w:val="24"/>
          <w:szCs w:val="24"/>
          <w:lang w:val="lv-LV"/>
        </w:rPr>
      </w:pPr>
    </w:p>
    <w:p w:rsidR="0025664C" w:rsidRPr="0072419F" w:rsidP="0025664C" w14:paraId="7B6FD18F" w14:textId="77777777">
      <w:pPr>
        <w:tabs>
          <w:tab w:val="center" w:pos="5529"/>
          <w:tab w:val="right" w:pos="8789"/>
        </w:tabs>
        <w:spacing w:after="0" w:line="240" w:lineRule="auto"/>
        <w:ind w:firstLine="284"/>
        <w:jc w:val="both"/>
        <w:rPr>
          <w:rFonts w:eastAsia="Times New Roman"/>
          <w:szCs w:val="28"/>
          <w:lang w:val="lv-LV" w:eastAsia="lv-LV"/>
        </w:rPr>
      </w:pPr>
      <w:r w:rsidRPr="009E5E7C">
        <w:rPr>
          <w:szCs w:val="28"/>
          <w:lang w:val="lv-LV"/>
        </w:rPr>
        <w:t>Valsts kapitāla daļu turētāja pārstāve</w:t>
      </w:r>
      <w:r w:rsidRPr="009E5E7C">
        <w:rPr>
          <w:rFonts w:eastAsia="Times New Roman"/>
          <w:szCs w:val="28"/>
          <w:lang w:val="lv-LV" w:eastAsia="lv-LV"/>
        </w:rPr>
        <w:tab/>
        <w:t>(paraksts*)</w:t>
      </w:r>
      <w:r w:rsidRPr="009E5E7C">
        <w:rPr>
          <w:rFonts w:eastAsia="Times New Roman"/>
          <w:szCs w:val="28"/>
          <w:lang w:val="lv-LV" w:eastAsia="lv-LV"/>
        </w:rPr>
        <w:tab/>
        <w:t>D.Vilsone</w:t>
      </w:r>
    </w:p>
    <w:p w:rsidR="0025664C" w:rsidRPr="0072419F" w:rsidP="0025664C" w14:paraId="0BC75FA7" w14:textId="77777777">
      <w:pPr>
        <w:spacing w:after="0" w:line="240" w:lineRule="auto"/>
        <w:jc w:val="both"/>
        <w:rPr>
          <w:sz w:val="24"/>
          <w:szCs w:val="24"/>
          <w:lang w:val="lv-LV"/>
        </w:rPr>
      </w:pPr>
    </w:p>
    <w:p w:rsidR="0025664C" w:rsidRPr="0072419F" w:rsidP="0025664C" w14:paraId="7AAD3127" w14:textId="77777777">
      <w:pPr>
        <w:spacing w:after="0" w:line="240" w:lineRule="auto"/>
        <w:jc w:val="both"/>
        <w:rPr>
          <w:sz w:val="24"/>
          <w:szCs w:val="24"/>
          <w:lang w:val="lv-LV"/>
        </w:rPr>
      </w:pPr>
    </w:p>
    <w:p w:rsidR="0025664C" w:rsidRPr="0072419F" w:rsidP="0025664C" w14:paraId="61439ACE" w14:textId="77777777">
      <w:pPr>
        <w:spacing w:after="0" w:line="240" w:lineRule="auto"/>
        <w:jc w:val="both"/>
        <w:rPr>
          <w:sz w:val="24"/>
          <w:szCs w:val="24"/>
          <w:lang w:val="lv-LV"/>
        </w:rPr>
      </w:pPr>
      <w:r w:rsidRPr="0072419F">
        <w:rPr>
          <w:sz w:val="24"/>
          <w:szCs w:val="24"/>
          <w:lang w:val="lv-LV"/>
        </w:rPr>
        <w:t>* Dokuments ir parakstīts ar drošu elektronisko parakstu</w:t>
      </w:r>
    </w:p>
    <w:p w:rsidR="0025664C" w:rsidP="0025664C" w14:paraId="7996B191" w14:textId="77777777">
      <w:pPr>
        <w:spacing w:after="0" w:line="240" w:lineRule="auto"/>
        <w:jc w:val="both"/>
        <w:rPr>
          <w:sz w:val="24"/>
          <w:szCs w:val="24"/>
          <w:lang w:val="lv-LV"/>
        </w:rPr>
      </w:pPr>
    </w:p>
    <w:p w:rsidR="0025664C" w:rsidP="0025664C" w14:paraId="2526F4A0" w14:textId="77777777">
      <w:pPr>
        <w:spacing w:after="0" w:line="240" w:lineRule="auto"/>
        <w:jc w:val="both"/>
        <w:rPr>
          <w:sz w:val="24"/>
          <w:szCs w:val="24"/>
          <w:lang w:val="lv-LV"/>
        </w:rPr>
      </w:pPr>
    </w:p>
    <w:p w:rsidR="0025664C" w:rsidP="0025664C" w14:paraId="628355CC" w14:textId="77777777">
      <w:pPr>
        <w:spacing w:after="0" w:line="240" w:lineRule="auto"/>
        <w:jc w:val="both"/>
        <w:rPr>
          <w:sz w:val="24"/>
          <w:szCs w:val="24"/>
          <w:lang w:val="lv-LV"/>
        </w:rPr>
      </w:pPr>
    </w:p>
    <w:p w:rsidR="0025664C" w:rsidP="0025664C" w14:paraId="637F4B60" w14:textId="77777777">
      <w:pPr>
        <w:spacing w:after="0" w:line="240" w:lineRule="auto"/>
        <w:jc w:val="both"/>
        <w:rPr>
          <w:sz w:val="24"/>
          <w:szCs w:val="24"/>
          <w:lang w:val="lv-LV"/>
        </w:rPr>
      </w:pPr>
    </w:p>
    <w:p w:rsidR="0025664C" w:rsidP="0025664C" w14:paraId="257B7AAB" w14:textId="77777777">
      <w:pPr>
        <w:spacing w:after="0" w:line="240" w:lineRule="auto"/>
        <w:jc w:val="both"/>
        <w:rPr>
          <w:sz w:val="24"/>
          <w:szCs w:val="24"/>
          <w:lang w:val="lv-LV"/>
        </w:rPr>
      </w:pPr>
    </w:p>
    <w:p w:rsidR="0025664C" w:rsidRPr="0072419F" w:rsidP="0025664C" w14:paraId="0D1DAEF7" w14:textId="77777777">
      <w:pPr>
        <w:spacing w:after="0" w:line="240" w:lineRule="auto"/>
        <w:jc w:val="both"/>
        <w:rPr>
          <w:sz w:val="24"/>
          <w:szCs w:val="24"/>
          <w:lang w:val="lv-LV"/>
        </w:rPr>
      </w:pPr>
    </w:p>
    <w:p w:rsidR="0025664C" w:rsidRPr="0072419F" w:rsidP="0025664C" w14:paraId="46CE0017" w14:textId="77777777">
      <w:pPr>
        <w:spacing w:after="0" w:line="240" w:lineRule="auto"/>
        <w:jc w:val="both"/>
        <w:rPr>
          <w:sz w:val="20"/>
          <w:szCs w:val="20"/>
          <w:lang w:val="lv-LV"/>
        </w:rPr>
      </w:pPr>
      <w:r w:rsidRPr="0072419F">
        <w:rPr>
          <w:sz w:val="20"/>
          <w:szCs w:val="20"/>
          <w:lang w:val="lv-LV"/>
        </w:rPr>
        <w:t xml:space="preserve">Katajs </w:t>
      </w:r>
      <w:r>
        <w:rPr>
          <w:sz w:val="20"/>
          <w:szCs w:val="20"/>
          <w:lang w:val="lv-LV"/>
        </w:rPr>
        <w:t>29263983</w:t>
      </w:r>
    </w:p>
    <w:p w:rsidR="00483AE5" w:rsidRPr="0025664C" w:rsidP="0025664C" w14:paraId="188CAD06" w14:textId="0DC93B38">
      <w:pPr>
        <w:spacing w:after="0" w:line="240" w:lineRule="auto"/>
        <w:rPr>
          <w:lang w:val="lv-LV"/>
        </w:rPr>
      </w:pPr>
      <w:hyperlink r:id="rId7" w:history="1">
        <w:r w:rsidRPr="0072419F">
          <w:rPr>
            <w:rStyle w:val="Hyperlink"/>
            <w:sz w:val="20"/>
            <w:szCs w:val="20"/>
            <w:lang w:val="lv-LV"/>
          </w:rPr>
          <w:t>Marcis.Katajs@km.gov.lv</w:t>
        </w:r>
      </w:hyperlink>
    </w:p>
    <w:sectPr w:rsidSect="001D0373">
      <w:headerReference w:type="default" r:id="rId8"/>
      <w:headerReference w:type="first" r:id="rId9"/>
      <w:type w:val="continuous"/>
      <w:pgSz w:w="11920" w:h="16840"/>
      <w:pgMar w:top="1418"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7025950"/>
      <w:docPartObj>
        <w:docPartGallery w:val="Page Numbers (Top of Page)"/>
        <w:docPartUnique/>
      </w:docPartObj>
    </w:sdtPr>
    <w:sdtContent>
      <w:p w:rsidR="008E1A59" w:rsidP="008E1A59" w14:paraId="624F31E6" w14:textId="77777777">
        <w:pPr>
          <w:pStyle w:val="Header"/>
          <w:jc w:val="center"/>
        </w:pPr>
        <w:r w:rsidRPr="008E1A59">
          <w:rPr>
            <w:sz w:val="24"/>
            <w:szCs w:val="24"/>
          </w:rPr>
          <w:fldChar w:fldCharType="begin"/>
        </w:r>
        <w:r w:rsidRPr="008E1A59">
          <w:rPr>
            <w:sz w:val="24"/>
            <w:szCs w:val="24"/>
          </w:rPr>
          <w:instrText xml:space="preserve"> PAGE   \* MERGEFORMAT </w:instrText>
        </w:r>
        <w:r w:rsidRPr="008E1A59">
          <w:rPr>
            <w:sz w:val="24"/>
            <w:szCs w:val="24"/>
          </w:rPr>
          <w:fldChar w:fldCharType="separate"/>
        </w:r>
        <w:r w:rsidR="001D0373">
          <w:rPr>
            <w:noProof/>
            <w:sz w:val="24"/>
            <w:szCs w:val="24"/>
          </w:rPr>
          <w:t>2</w:t>
        </w:r>
        <w:r w:rsidRPr="008E1A59">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F6C" w:rsidP="008E1A59" w14:paraId="37EEF764" w14:textId="77777777">
    <w:pPr>
      <w:pStyle w:val="Header"/>
    </w:pPr>
  </w:p>
  <w:p w:rsidR="00AD6F6C" w:rsidP="008E1A59" w14:paraId="65957EA8" w14:textId="77777777">
    <w:pPr>
      <w:pStyle w:val="Header"/>
    </w:pPr>
  </w:p>
  <w:p w:rsidR="00AD6F6C" w:rsidP="008E1A59" w14:paraId="3328F03D" w14:textId="77777777">
    <w:pPr>
      <w:pStyle w:val="Header"/>
    </w:pPr>
  </w:p>
  <w:p w:rsidR="00AD6F6C" w:rsidP="008E1A59" w14:paraId="44951BA4" w14:textId="77777777">
    <w:pPr>
      <w:pStyle w:val="Header"/>
    </w:pPr>
  </w:p>
  <w:p w:rsidR="00AD6F6C" w:rsidP="008E1A59" w14:paraId="2752475C" w14:textId="77777777">
    <w:pPr>
      <w:pStyle w:val="Header"/>
    </w:pPr>
  </w:p>
  <w:p w:rsidR="00AD6F6C" w:rsidP="008E1A59" w14:paraId="1A8853AA" w14:textId="77777777">
    <w:pPr>
      <w:pStyle w:val="Header"/>
    </w:pPr>
  </w:p>
  <w:p w:rsidR="00AD6F6C" w:rsidP="008E1A59" w14:paraId="7AFE5FEB" w14:textId="77777777">
    <w:pPr>
      <w:pStyle w:val="Header"/>
    </w:pPr>
  </w:p>
  <w:p w:rsidR="00AD6F6C" w:rsidP="008E1A59" w14:paraId="0BB2BF4C" w14:textId="77777777">
    <w:pPr>
      <w:pStyle w:val="Header"/>
    </w:pPr>
  </w:p>
  <w:p w:rsidR="00AD6F6C" w:rsidP="008E1A59" w14:paraId="63618313" w14:textId="77777777">
    <w:pPr>
      <w:pStyle w:val="Header"/>
    </w:pPr>
  </w:p>
  <w:p w:rsidR="00D13A39" w:rsidP="008E1A59" w14:paraId="2EEE6025" w14:textId="77777777">
    <w:pPr>
      <w:pStyle w:val="Header"/>
    </w:pPr>
  </w:p>
  <w:p w:rsidR="00D13A39" w:rsidRPr="0025273F" w:rsidP="008E1A59" w14:paraId="09EB4908" w14:textId="77777777">
    <w:pPr>
      <w:widowControl/>
      <w:spacing w:after="0" w:line="240" w:lineRule="auto"/>
      <w:jc w:val="center"/>
      <w:rPr>
        <w:szCs w:val="28"/>
        <w:lang w:val="pt-BR"/>
      </w:rPr>
    </w:pPr>
    <w:r>
      <w:rPr>
        <w:b/>
        <w:szCs w:val="28"/>
        <w:lang w:val="pt-BR"/>
      </w:rPr>
      <w:t>LĒMUMS</w:t>
    </w:r>
  </w:p>
  <w:p w:rsidR="00D13A39" w:rsidP="008E1A59" w14:paraId="225D665D" w14:textId="77777777">
    <w:pPr>
      <w:spacing w:after="0" w:line="240" w:lineRule="auto"/>
      <w:jc w:val="center"/>
      <w:rPr>
        <w:szCs w:val="28"/>
        <w:lang w:val="pt-BR"/>
      </w:rPr>
    </w:pPr>
    <w:r w:rsidRPr="0025273F">
      <w:rPr>
        <w:szCs w:val="28"/>
        <w:lang w:val="pt-BR"/>
      </w:rPr>
      <w:t>Rīgā</w:t>
    </w:r>
  </w:p>
  <w:p w:rsidR="008E1A59" w:rsidRPr="0025273F" w:rsidP="008E1A59" w14:paraId="742CC8EF" w14:textId="77777777">
    <w:pPr>
      <w:spacing w:after="0" w:line="240" w:lineRule="auto"/>
      <w:jc w:val="center"/>
      <w:rPr>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35"/>
    </w:tblGrid>
    <w:tr w14:paraId="55FAC9CC" w14:textId="77777777" w:rsidTr="002108A1">
      <w:tblPrEx>
        <w:tblW w:w="0" w:type="auto"/>
        <w:tblLook w:val="04A0"/>
      </w:tblPrEx>
      <w:tc>
        <w:tcPr>
          <w:tcW w:w="4650" w:type="dxa"/>
        </w:tcPr>
        <w:p w:rsidR="00714EE2" w:rsidP="00714EE2" w14:paraId="75258024" w14:textId="77777777">
          <w:pPr>
            <w:tabs>
              <w:tab w:val="right" w:pos="9072"/>
            </w:tabs>
            <w:spacing w:after="0" w:line="240" w:lineRule="auto"/>
            <w:contextualSpacing/>
            <w:rPr>
              <w:szCs w:val="28"/>
              <w:lang w:val="lv-LV"/>
            </w:rPr>
          </w:pPr>
          <w:r w:rsidRPr="00B03C2D">
            <w:rPr>
              <w:noProof/>
              <w:szCs w:val="28"/>
              <w:lang w:val="lv-LV"/>
            </w:rPr>
            <w:t>20.05.2025</w:t>
          </w:r>
          <w:r w:rsidRPr="00B03C2D">
            <w:rPr>
              <w:szCs w:val="28"/>
              <w:lang w:val="lv-LV"/>
            </w:rPr>
            <w:t>.</w:t>
          </w:r>
        </w:p>
      </w:tc>
      <w:tc>
        <w:tcPr>
          <w:tcW w:w="4651" w:type="dxa"/>
        </w:tcPr>
        <w:p w:rsidR="00714EE2" w:rsidP="00714EE2" w14:paraId="3AB1E714" w14:textId="77777777">
          <w:pPr>
            <w:tabs>
              <w:tab w:val="right" w:pos="9072"/>
            </w:tabs>
            <w:spacing w:after="0" w:line="240" w:lineRule="auto"/>
            <w:contextualSpacing/>
            <w:jc w:val="right"/>
            <w:rPr>
              <w:szCs w:val="28"/>
              <w:lang w:val="lv-LV"/>
            </w:rPr>
          </w:pPr>
          <w:r>
            <w:rPr>
              <w:szCs w:val="28"/>
              <w:lang w:val="lv-LV"/>
            </w:rPr>
            <w:t>Nr</w:t>
          </w:r>
          <w:r>
            <w:rPr>
              <w:szCs w:val="28"/>
              <w:lang w:val="lv-LV"/>
            </w:rPr>
            <w:t>.</w:t>
          </w:r>
          <w:r>
            <w:rPr>
              <w:noProof/>
              <w:szCs w:val="28"/>
              <w:lang w:val="lv-LV"/>
            </w:rPr>
            <w:t>2.5-3-37</w:t>
          </w:r>
        </w:p>
      </w:tc>
    </w:tr>
  </w:tbl>
  <w:p w:rsidR="00D13A39" w:rsidP="00811375" w14:paraId="111C87A8" w14:textId="77777777">
    <w:pPr>
      <w:tabs>
        <w:tab w:val="right" w:pos="9072"/>
      </w:tabs>
      <w:spacing w:after="0" w:line="240" w:lineRule="auto"/>
      <w:contextualSpacing/>
    </w:pPr>
    <w:r>
      <w:rPr>
        <w:noProof/>
        <w:lang w:val="lv-LV" w:eastAsia="lv-LV"/>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1905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936615" cy="1033145"/>
                  </a:xfrm>
                  <a:prstGeom prst="rect">
                    <a:avLst/>
                  </a:prstGeom>
                  <a:noFill/>
                  <a:ln w="9525">
                    <a:noFill/>
                    <a:miter lim="800000"/>
                    <a:headEnd/>
                    <a:tailEnd/>
                  </a:ln>
                </pic:spPr>
              </pic:pic>
            </a:graphicData>
          </a:graphic>
        </wp:anchor>
      </w:drawing>
    </w:r>
    <w:r w:rsidR="00714EE2">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6F6C" w:rsidRPr="00754850" w:rsidP="00AD6F6C" w14:textId="77777777">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sidR="00B5794C">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sidR="00DB0C8E">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sidR="00DB0C8E">
                              <w:rPr>
                                <w:rStyle w:val="Hyperlink"/>
                                <w:rFonts w:eastAsia="Times New Roman"/>
                                <w:sz w:val="17"/>
                                <w:szCs w:val="17"/>
                                <w:lang w:val="lv-LV"/>
                              </w:rPr>
                              <w:t>www.km.gov.lv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AD6F6C" w:rsidRPr="00754850" w:rsidP="00AD6F6C" w14:paraId="08ECA740" w14:textId="77777777">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sidR="00B5794C">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sidR="00DB0C8E">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sidR="00DB0C8E">
                        <w:rPr>
                          <w:rStyle w:val="Hyperlink"/>
                          <w:rFonts w:eastAsia="Times New Roman"/>
                          <w:sz w:val="17"/>
                          <w:szCs w:val="17"/>
                          <w:lang w:val="lv-LV"/>
                        </w:rPr>
                        <w:t>www.km.gov.lv</w:t>
                      </w:r>
                    </w:hyperlink>
                  </w:p>
                </w:txbxContent>
              </v:textbox>
            </v:shape>
          </w:pict>
        </mc:Fallback>
      </mc:AlternateContent>
    </w:r>
    <w:r w:rsidR="00714EE2">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59611CFF"/>
    <w:multiLevelType w:val="hybridMultilevel"/>
    <w:tmpl w:val="F57408DA"/>
    <w:lvl w:ilvl="0">
      <w:start w:val="1"/>
      <w:numFmt w:val="decimal"/>
      <w:lvlText w:val="%1."/>
      <w:lvlJc w:val="left"/>
      <w:pPr>
        <w:ind w:left="1515" w:hanging="360"/>
      </w:pPr>
      <w:rPr>
        <w:b w:val="0"/>
        <w:bCs w:val="0"/>
        <w:sz w:val="28"/>
        <w:szCs w:val="28"/>
      </w:rPr>
    </w:lvl>
    <w:lvl w:ilvl="1" w:tentative="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num w:numId="1" w16cid:durableId="377126388">
    <w:abstractNumId w:val="10"/>
  </w:num>
  <w:num w:numId="2" w16cid:durableId="574126682">
    <w:abstractNumId w:val="8"/>
  </w:num>
  <w:num w:numId="3" w16cid:durableId="2001230473">
    <w:abstractNumId w:val="7"/>
  </w:num>
  <w:num w:numId="4" w16cid:durableId="360596977">
    <w:abstractNumId w:val="6"/>
  </w:num>
  <w:num w:numId="5" w16cid:durableId="360907871">
    <w:abstractNumId w:val="5"/>
  </w:num>
  <w:num w:numId="6" w16cid:durableId="1114448596">
    <w:abstractNumId w:val="9"/>
  </w:num>
  <w:num w:numId="7" w16cid:durableId="2042391464">
    <w:abstractNumId w:val="4"/>
  </w:num>
  <w:num w:numId="8" w16cid:durableId="227303013">
    <w:abstractNumId w:val="3"/>
  </w:num>
  <w:num w:numId="9" w16cid:durableId="1213663346">
    <w:abstractNumId w:val="2"/>
  </w:num>
  <w:num w:numId="10" w16cid:durableId="625083936">
    <w:abstractNumId w:val="1"/>
  </w:num>
  <w:num w:numId="11" w16cid:durableId="582758727">
    <w:abstractNumId w:val="0"/>
  </w:num>
  <w:num w:numId="12" w16cid:durableId="748311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40CEC"/>
    <w:rsid w:val="00071CF0"/>
    <w:rsid w:val="000B7907"/>
    <w:rsid w:val="000C4FDE"/>
    <w:rsid w:val="000D69B0"/>
    <w:rsid w:val="000F7727"/>
    <w:rsid w:val="00124173"/>
    <w:rsid w:val="00131078"/>
    <w:rsid w:val="001379ED"/>
    <w:rsid w:val="001A3D32"/>
    <w:rsid w:val="001D0373"/>
    <w:rsid w:val="001E2FF9"/>
    <w:rsid w:val="002108A1"/>
    <w:rsid w:val="00212449"/>
    <w:rsid w:val="0025273F"/>
    <w:rsid w:val="0025664C"/>
    <w:rsid w:val="00275B9E"/>
    <w:rsid w:val="002B3077"/>
    <w:rsid w:val="002E1474"/>
    <w:rsid w:val="002F1E1C"/>
    <w:rsid w:val="002F3A87"/>
    <w:rsid w:val="00324962"/>
    <w:rsid w:val="00335032"/>
    <w:rsid w:val="003723AA"/>
    <w:rsid w:val="003819BC"/>
    <w:rsid w:val="00384AA6"/>
    <w:rsid w:val="00396551"/>
    <w:rsid w:val="003B2461"/>
    <w:rsid w:val="003C601E"/>
    <w:rsid w:val="0041232C"/>
    <w:rsid w:val="0045163F"/>
    <w:rsid w:val="00470E3F"/>
    <w:rsid w:val="00483AE5"/>
    <w:rsid w:val="004900B5"/>
    <w:rsid w:val="0049301B"/>
    <w:rsid w:val="00493308"/>
    <w:rsid w:val="004A7FDE"/>
    <w:rsid w:val="004E1541"/>
    <w:rsid w:val="00510D25"/>
    <w:rsid w:val="00535564"/>
    <w:rsid w:val="00543F1E"/>
    <w:rsid w:val="005478C0"/>
    <w:rsid w:val="0056136D"/>
    <w:rsid w:val="00563B1D"/>
    <w:rsid w:val="00567FE8"/>
    <w:rsid w:val="00577E81"/>
    <w:rsid w:val="0059509F"/>
    <w:rsid w:val="00597198"/>
    <w:rsid w:val="005A3A59"/>
    <w:rsid w:val="005B283F"/>
    <w:rsid w:val="00633402"/>
    <w:rsid w:val="006444AA"/>
    <w:rsid w:val="00663C3A"/>
    <w:rsid w:val="00674060"/>
    <w:rsid w:val="0068149C"/>
    <w:rsid w:val="006C1639"/>
    <w:rsid w:val="006F2125"/>
    <w:rsid w:val="00714EE2"/>
    <w:rsid w:val="00715492"/>
    <w:rsid w:val="0072419F"/>
    <w:rsid w:val="00730ED3"/>
    <w:rsid w:val="00733848"/>
    <w:rsid w:val="00747CCB"/>
    <w:rsid w:val="00754850"/>
    <w:rsid w:val="007704BD"/>
    <w:rsid w:val="00783C44"/>
    <w:rsid w:val="007B3BA5"/>
    <w:rsid w:val="007B48EC"/>
    <w:rsid w:val="007E4D1F"/>
    <w:rsid w:val="007F2A77"/>
    <w:rsid w:val="008002E2"/>
    <w:rsid w:val="00807C77"/>
    <w:rsid w:val="00811375"/>
    <w:rsid w:val="00813344"/>
    <w:rsid w:val="00815277"/>
    <w:rsid w:val="008228D4"/>
    <w:rsid w:val="0083483E"/>
    <w:rsid w:val="0084223C"/>
    <w:rsid w:val="0084378B"/>
    <w:rsid w:val="00862379"/>
    <w:rsid w:val="00876C21"/>
    <w:rsid w:val="0088338D"/>
    <w:rsid w:val="008A5CB7"/>
    <w:rsid w:val="008D041C"/>
    <w:rsid w:val="008E1A59"/>
    <w:rsid w:val="008E4B7D"/>
    <w:rsid w:val="009140FD"/>
    <w:rsid w:val="00930B02"/>
    <w:rsid w:val="009356AA"/>
    <w:rsid w:val="00954D5A"/>
    <w:rsid w:val="00954FBA"/>
    <w:rsid w:val="009713FC"/>
    <w:rsid w:val="00972FE6"/>
    <w:rsid w:val="009B073F"/>
    <w:rsid w:val="009D180C"/>
    <w:rsid w:val="009D3E35"/>
    <w:rsid w:val="009E5E7C"/>
    <w:rsid w:val="00A008B9"/>
    <w:rsid w:val="00A00C80"/>
    <w:rsid w:val="00A22909"/>
    <w:rsid w:val="00A235F8"/>
    <w:rsid w:val="00A45216"/>
    <w:rsid w:val="00A8096D"/>
    <w:rsid w:val="00A854E9"/>
    <w:rsid w:val="00A85526"/>
    <w:rsid w:val="00AD6F6C"/>
    <w:rsid w:val="00B03C2D"/>
    <w:rsid w:val="00B105CC"/>
    <w:rsid w:val="00B217D7"/>
    <w:rsid w:val="00B45363"/>
    <w:rsid w:val="00B45DB5"/>
    <w:rsid w:val="00B5794C"/>
    <w:rsid w:val="00B75886"/>
    <w:rsid w:val="00B8215B"/>
    <w:rsid w:val="00BB2C2C"/>
    <w:rsid w:val="00BE6E9B"/>
    <w:rsid w:val="00C04906"/>
    <w:rsid w:val="00C12229"/>
    <w:rsid w:val="00C30EFB"/>
    <w:rsid w:val="00C47F57"/>
    <w:rsid w:val="00C62F7E"/>
    <w:rsid w:val="00CC29F8"/>
    <w:rsid w:val="00CE5641"/>
    <w:rsid w:val="00D13A39"/>
    <w:rsid w:val="00D21FA6"/>
    <w:rsid w:val="00D558D2"/>
    <w:rsid w:val="00D55B4B"/>
    <w:rsid w:val="00D62942"/>
    <w:rsid w:val="00D96C28"/>
    <w:rsid w:val="00DB0C8E"/>
    <w:rsid w:val="00DC1ABC"/>
    <w:rsid w:val="00DE52EE"/>
    <w:rsid w:val="00DE7B09"/>
    <w:rsid w:val="00E22B36"/>
    <w:rsid w:val="00E279FD"/>
    <w:rsid w:val="00E365CE"/>
    <w:rsid w:val="00E71B97"/>
    <w:rsid w:val="00EB43B0"/>
    <w:rsid w:val="00EE0AA7"/>
    <w:rsid w:val="00EF002A"/>
    <w:rsid w:val="00EF355C"/>
    <w:rsid w:val="00F11E60"/>
    <w:rsid w:val="00F15C78"/>
    <w:rsid w:val="00F5268A"/>
    <w:rsid w:val="00F60586"/>
    <w:rsid w:val="00F83056"/>
    <w:rsid w:val="00F8618B"/>
    <w:rsid w:val="00F9327A"/>
    <w:rsid w:val="00FB4086"/>
    <w:rsid w:val="00FB5CA3"/>
  </w:rsids>
  <m:mathPr>
    <m:mathFont m:val="Cambria Math"/>
    <m:dispDef m:val="0"/>
    <m:wrapRight/>
    <m:naryLim m:val="subSup"/>
  </m:mathPr>
  <w:themeFontLang w:val="lv-LV" w:bidi="lo-LA"/>
  <w:clrSchemeMapping w:bg1="light1" w:t1="dark1" w:bg2="light2" w:t2="dark2" w:accent1="accent1" w:accent2="accent2" w:accent3="accent3" w:accent4="accent4" w:accent5="accent5" w:accent6="accent6" w:hyperlink="hyperlink" w:followedHyperlink="followedHyperlink"/>
  <w14:docId w14:val="7F5F2FCA"/>
  <w15:docId w15:val="{5CE2D10F-F039-4859-8E0E-39B82322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942"/>
    <w:pPr>
      <w:widowControl w:val="0"/>
      <w:spacing w:after="200" w:line="276" w:lineRule="auto"/>
    </w:pPr>
    <w:rPr>
      <w:rFonts w:ascii="Times New Roman" w:hAnsi="Times New Roman"/>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 w:val="20"/>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color w:val="414142"/>
      <w:sz w:val="20"/>
      <w:szCs w:val="20"/>
      <w:lang w:val="lv-LV" w:eastAsia="lv-LV"/>
    </w:rPr>
  </w:style>
  <w:style w:type="character" w:styleId="UnresolvedMention">
    <w:name w:val="Unresolved Mention"/>
    <w:basedOn w:val="DefaultParagraphFont"/>
    <w:uiPriority w:val="99"/>
    <w:semiHidden/>
    <w:unhideWhenUsed/>
    <w:rsid w:val="00DB0C8E"/>
    <w:rPr>
      <w:color w:val="605E5C"/>
      <w:shd w:val="clear" w:color="auto" w:fill="E1DFDD"/>
    </w:rPr>
  </w:style>
  <w:style w:type="table" w:styleId="TableGrid">
    <w:name w:val="Table Grid"/>
    <w:basedOn w:val="TableNormal"/>
    <w:uiPriority w:val="59"/>
    <w:rsid w:val="0071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64C"/>
    <w:pPr>
      <w:widowControl/>
      <w:spacing w:after="0" w:line="240" w:lineRule="auto"/>
      <w:ind w:left="720"/>
      <w:contextualSpacing/>
    </w:pPr>
    <w:rPr>
      <w:rFonts w:eastAsia="Times New Roman"/>
      <w:sz w:val="24"/>
      <w:szCs w:val="24"/>
      <w:lang w:val="lv-LV" w:eastAsia="lv-LV"/>
    </w:rPr>
  </w:style>
  <w:style w:type="paragraph" w:styleId="Revision">
    <w:name w:val="Revision"/>
    <w:hidden/>
    <w:uiPriority w:val="99"/>
    <w:semiHidden/>
    <w:rsid w:val="00212449"/>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ards.Uzvards@km.gov.lv"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pasts@km.gov.lv" TargetMode="External" /><Relationship Id="rId3" Type="http://schemas.openxmlformats.org/officeDocument/2006/relationships/hyperlink" Target="http://www.km.gov.lv" TargetMode="Externa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761453BD-890B-4CB9-B074-BA6840784E96}">
  <ds:schemaRefs>
    <ds:schemaRef ds:uri="http://schemas.microsoft.com/sharepoint/v3/contenttype/forms"/>
  </ds:schemaRefs>
</ds:datastoreItem>
</file>

<file path=customXml/itemProps2.xml><?xml version="1.0" encoding="utf-8"?>
<ds:datastoreItem xmlns:ds="http://schemas.openxmlformats.org/officeDocument/2006/customXml" ds:itemID="{6C2C3BF2-A8ED-454C-84E2-747057BAE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92E78-0E6B-4AB0-9318-FEA34D31F91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1978</Words>
  <Characters>1128</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Administratīvais lēmums</vt:lpstr>
      <vt:lpstr/>
    </vt:vector>
  </TitlesOfParts>
  <Company>LR Kultūras Ministrija</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Administratīvais lēmums</dc:title>
  <dc:subject>Elektroniskā dokumenta veidlapa</dc:subject>
  <dc:creator>Juridiskā nodaļa</dc:creator>
  <cp:lastModifiedBy>Mārcis Katajs</cp:lastModifiedBy>
  <cp:revision>2</cp:revision>
  <cp:lastPrinted>2017-01-05T09:02:00Z</cp:lastPrinted>
  <dcterms:created xsi:type="dcterms:W3CDTF">2025-05-19T11:39:00Z</dcterms:created>
  <dcterms:modified xsi:type="dcterms:W3CDTF">2025-05-19T11:39:00Z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MediaServiceImageTags">
    <vt:lpwstr/>
  </property>
  <property fmtid="{D5CDD505-2E9C-101B-9397-08002B2CF9AE}" pid="6" name="Order">
    <vt:r8>2408800</vt:r8>
  </property>
</Properties>
</file>